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C-4402/2015 vom 8. Februar 2016</w:t>
      </w:r>
    </w:p>
    <w:p>
      <w:r>
        <w:t>Bundesverwaltungsgericht, 2016-02-08, FR</w:t>
      </w:r>
    </w:p>
    <w:p>
      <w:r>
        <w:rPr>
          <w:b/>
        </w:rPr>
        <w:t xml:space="preserve">Quelle: </w:t>
      </w:r>
      <w:r>
        <w:t>https://mcp.opencaselaw.ch/entscheid/bvger_C-4402_2015</w:t>
      </w:r>
    </w:p>
    <w:p>
      <w:r>
        <w:t>FR: TAF C-4402/2015 du 8 février 2016</w:t>
      </w:r>
    </w:p>
    <w:p>
      <w:r>
        <w:t>IT: TAF C-4402/2015 del 8 febbraio 2016</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prononcées par l'autorité intimée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ressortissante indienne, B._______ est soumise à l'obligation du visa.</w:t>
      </w:r>
    </w:p>
    <w:p>
      <w:r>
        <w:rPr>
          <w:b/>
        </w:rPr>
        <w:t>E. 5.1</w:t>
      </w:r>
    </w:p>
    <w:p>
      <w:r>
        <w:t>Dans la décision querellée, le SEM a refusé d'autoriser l'entrée en Suisse de B._______ au motif que son départ à l'échéance du visa sollicité n'apparaissait pas suffisamment assuré.</w:t>
      </w:r>
    </w:p>
    <w:p>
      <w:r>
        <w:rPr>
          <w:b/>
        </w:rPr>
        <w:t>E. 5.2</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ATAF 2014/1 consid. 6.1).</w:t>
      </w:r>
    </w:p>
    <w:p>
      <w:r>
        <w:rPr>
          <w:b/>
        </w:rPr>
        <w:t>E. 5.3</w:t>
      </w:r>
    </w:p>
    <w:p>
      <w:r>
        <w:t>In casu, le Tribunal ne saurait d'emblée écarter les craintes émises par l'autorité intimée, notamment au vu de la situation qui prévaut en Inde sur le plan social et économique. A ce sujet, doivent être prises en considération la qualité de vie et les conditions économiques et sociales que connaît l'ensemble de la population en Inde. En ce qui concerne la situation économique de ce pays, il convient de souligner qu'avec un revenu national brut (RNB) par habitant (anciennement le PNB par habitant, soit le RNB converti en dollars américains au moyen de la méthode Atlas de la Banque mondiale, divisé par la population en milieu d'année) de $ 1'570 en 2014, celle-ci elle demeure très nettement en dessous des standards européens (cf. site de la banque mondiale : http://donnees.banquemondiale.org/indicateur/NY.GNP.PCAP.CD, site consulté en janvier 2016). Pour l'année 2014, l'indice de développement humain (IDH), qui prend notamment en compte la santé, l'éducation et le revenu des personnes, classe l'Inde en 130ème position sur 187 pays, et la Suisse en 3ème position (cf. site internet du Programme des Nations Unis pour le développement [PNUD] : http://www.hdr.undp.org/fr/countries, Inde et http://www.hdr.undp.org/fr/countries, Suisse, consulté en janvier 2016). Ces conditions de vie moins 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les intéressés et le recourant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Tribunal administratif fédéralC-2942/2013 du 17 février 2014 consid. 5.2 et réf. citée).</w:t>
      </w:r>
    </w:p>
    <w:p>
      <w:r>
        <w:rPr>
          <w:b/>
        </w:rPr>
        <w:t>E. 5.4</w:t>
      </w:r>
    </w:p>
    <w:p>
      <w:r>
        <w:t>Il convient dès lors d'examiner si, en l'état, la situation personnelle, fa­miliale et patrimoniale de B._______ plaide en faveur de sa sortie ponctuelle de Suisse, respectivement de l'Espace Schengen, à l'expira­tion de son visa, compte tenu du but du séjour qu'elle envi­sage d'effectuer en Suisse.</w:t>
      </w:r>
    </w:p>
    <w:p>
      <w:r>
        <w:rPr>
          <w:b/>
        </w:rPr>
        <w:t>E. 5.5</w:t>
      </w:r>
    </w:p>
    <w:p>
      <w:r>
        <w:t>S'agissant des attaches familiales de B._______, il ressort des informations fournies au dossier que l'intéressée, âgée de 49 ans, est mariée, réside en Inde avec son époux et compte encore d'autres membres de sa famille dans son pays. La prénommée bénéficie ainsi d'un réseau familial non négligeable dans sa patrie et le fait qu'elle n'exerce pas d'activité professionnelle (femme au foyer) ne saurait, en lui-même, avoir une incidence défavorable sur l'examen de sa requête. Il apparaît en outre que l'intéressée est déjà précédemment venue en Suisse dans le cadre de séjours touristiques et qu'elle est retournée dans son pays à l'échéance de son visa. Dans ces circonstances, le Tribunal ne voit aucun motif de mettre en doute, a priori, l'affirmation de la recourante, selon laquelle sa mère souhaite à nouveau lui rendre une simple visite familiale de trois mois. Il apparaît certes que B._______ a déposé, le 28 octobre 2014, une demande de visa d'entrée en Suisse pour un séjour de longue durée (visa D) auprès de sa fille et de son beau-fils, requête dont le SEM a tiré argument pour en conclure que la sortie de Suisse de l'intéressée ne pouvait être considérée comme suffisamment assurée. Le Tribunal est toutefois amené à considérer que les explications fournies à ce sujet par la recourante, selon lesquelles sa mère, agissant sur les conseils de la représentation suisse à New Delhi, avait simplement voulu obtenir un visa de plus longue durée pour n'avoir pas à répéter des démarches pour des visas de courte durée apparaissent plausibles. Il convient de remarquer ainsi que, dans le formulaire de sa demande de visa D, la requérante avait certes coché la case "regroupement familial" à la rubrique "but du séjour en Suisse", mais y avait indiqué "9 mois" à la rubrique "durée du séjour" et avait en outre sollicité l'octroi d'un visa à entrées multiples, éléments qui paraissent en adéquation avec les explications fournies par la recourante sur les circonstances du dépôt de cette requête. Il convient de relever enfin que B._______ n'a pas contesté la décision de refus d'autorisation de séjour du SPOP du 10 avril 2015, mais a par la suite à nouveau sollicité l'octroi d'un visa touristique ordinaire, comme l'autorité cantonale le lui suggérait dans son prononcé précité. Aussi, au regard des circonstances du cas d'espèce, le risque que B._______ choisisse de quitter son pays pour venir durablement s'installer en Suisse, dans un environnement qui lui est étranger, alors que ses principales attaches sociales et familiales sont en Inde, apparaît faible (en ce sens également l'arrêt du Tribunal administratif fédéral C-548/2013 du 4 février 2014). Les craintes émises par l'autorité inférieure, bien que non dénuées de fondement, compte tenu de la procédure introduite par la requérante le 28 octobre 2014, ne sauraient donc être partagées par le Tribunal au point de justifier un refus d'autorisation d'entrée. C'est le lieu de rappeler qu'en la matière, il suffit qu'il existe un haut degré de probabilité que l'intéressée retourne dans son pays à l'échéance du visa convoité (cf. arrêt du Tribunal administratif fédéral C-5114/2011 du 24 août 2012 consid. 6).</w:t>
      </w:r>
    </w:p>
    <w:p>
      <w:r>
        <w:rPr>
          <w:b/>
        </w:rPr>
        <w:t>E. 6</w:t>
      </w:r>
    </w:p>
    <w:p>
      <w:r>
        <w:t>En conséquence, le Tribunal est amené à considérer que le retour de B._______ en Inde à l'échéance du visa requis peut être tenu, avec un haut degré de probabilité, pour garanti. Il serait ainsi inopportun de refuser l'autorisation d'entrée sollicitée, l'intérêt privé de l'intéressée à se rendre en Suisse pour une visite familiale à sa fille et à son beau-fils prévalant sur l'intérêt public contraire à refuser le visa sollicité au vu des garanties apportées quant à la sortie de l'Espace Schengen dans le délai fixé. 7.C'est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 8.Le recours est en conséquence admis, la décision attaquée annulée et la cause renvoyée pour nouvel examen à l'autorité inférieure, laquelle est invitée à autoriser l'entrée en Suisse de B._______ pour une visite d'ordre familial de 90 jours, après avoir déterminé si la prénommée remplit les conditions d'entrée posées par le code frontières Schengen ou s'il convient, le cas échéant, de lui octroyer un visa à validité territoriale limitée en application de l'art. 2 al. 4 OEV.</w:t>
      </w:r>
    </w:p>
    <w:p>
      <w:r>
        <w:rPr>
          <w:b/>
        </w:rPr>
        <w:t>E. 9.1</w:t>
      </w:r>
    </w:p>
    <w:p>
      <w:r>
        <w:t>La recourante obtenant gain de cause, il n'y a pas lieu de mettre des frais à sa charge (cf. art. 63 al. 1 a contrario et al. 3 PA). Bien qu'elle succombe, l'autorité inférieure n'a pas à supporter de frais de procédure (art. 63 al. 2 PA).</w:t>
      </w:r>
    </w:p>
    <w:p>
      <w:r>
        <w:rPr>
          <w:b/>
        </w:rPr>
        <w:t>E. 9.2</w:t>
      </w:r>
    </w:p>
    <w:p>
      <w:r>
        <w:t>Il ne se justifie par ailleurs pas d'allouer des dépens à la recourante. En effet, celle-ci n'a pas fait appel à un mandataire professionnel, de sorte que ses frais dans la présente procédure peuvent être considérés comme étant relativement peu élevés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