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C-4401/2020 vom 24. November 2021</w:t>
      </w:r>
    </w:p>
    <w:p>
      <w:r>
        <w:t>Bundesverwaltungsgericht, 2021-11-24, DE</w:t>
      </w:r>
    </w:p>
    <w:p>
      <w:r>
        <w:rPr>
          <w:b/>
        </w:rPr>
        <w:t xml:space="preserve">Quelle: </w:t>
      </w:r>
      <w:r>
        <w:t>https://mcp.opencaselaw.ch/entscheid/bvger_C-4401_2020</w:t>
      </w:r>
    </w:p>
    <w:p>
      <w:r>
        <w:t>FR: TAF C-4401/2020 du 24 novembre 2021</w:t>
      </w:r>
    </w:p>
    <w:p>
      <w:r>
        <w:t>IT: TAF C-4401/2020 del 24 novembre 2021</w:t>
      </w:r>
    </w:p>
    <w:p>
      <w:pPr>
        <w:pStyle w:val="Heading2"/>
      </w:pPr>
      <w:r>
        <w:t>Regeste</w:t>
      </w:r>
    </w:p>
    <w:p>
      <w:r>
        <w:t>Rückforderung von Versicherungsleistungen und Erlass</w:t>
      </w:r>
    </w:p>
    <w:p>
      <w:pPr>
        <w:pStyle w:val="Heading2"/>
      </w:pPr>
      <w:r>
        <w:t>Erwägungen</w:t>
      </w:r>
    </w:p>
    <w:p>
      <w:r>
        <w:rPr>
          <w:b/>
        </w:rPr>
        <w:t>E. 1</w:t>
      </w:r>
    </w:p>
    <w:p>
      <w:r>
        <w:t>Das Bundesverwaltungsgericht ist zur Behandlung der vorliegenden Beschwerden zuständig (Art. 85bis Abs. 1 AHVG [SR 831.10] sowie Art. 31, 32 und 33 Bst. d VGG). Die Beschwerdeführenden sind als Adressaten der angefochtenen Einspracheentscheide durch diese besonders berührt und haben ein schutzwürdiges Interesse an deren Aufhebung oder Abänderung, weshalb sie zur Erhebung der Beschwerden legitimiert sind (Art. 48 Abs. 1 VwVG; siehe auch Art. 59 ATSG [SR 830.1]). Auf die frist- und formgerecht eingereichten Beschwerden ist daher einzutreten (Art. 50 Abs. 1 und Art. 52 Abs. 1 VwVG; siehe auch Art. 60 ATSG).</w:t>
      </w:r>
    </w:p>
    <w:p>
      <w:r>
        <w:rPr>
          <w:b/>
        </w:rPr>
        <w:t>E. 2.1</w:t>
      </w:r>
    </w:p>
    <w:p>
      <w:r>
        <w:t>Eine Verfahrensvereinigung ist ein prozessualer Vorgang, bei welchem, insbesondere aus prozessökonomischen Gründen, mehrere Verfahren in derselben Sache zusammengelegt werden. Vorausgesetzt wird, dass die einzelnen Sachverhalte in einem engen inhaltlichen Zusammenhang stehen oder gar identisch sind und sich gleiche oder ähnliche Sach- und Rechtsfragen stellen (Urteil des BGer 2C_321/2018 vom 7. August 2018 E. 3 mit Hinweis auf BGE 126 II 377 E. 1). Unter den gleichen Voraussetzungen können auch getrennt eingereichte Beschwerden in einem Verfahren vereinigt werden, und zwar ungeachtet des Umstandes, dass separate Entscheide der Vorinstanz ergangen sind (vgl. BGE 131 V 461 E. 1.2 m.H.; vgl. zum Ganzen MOSER/BEUSCH/KNEUBÜHLER, Prozessieren vor dem Bundesverwaltungsgericht, 2. Aufl. 2013, Rz. 3.17 mit weiteren Rechtsprechungshinweisen).</w:t>
      </w:r>
    </w:p>
    <w:p>
      <w:r>
        <w:rPr>
          <w:b/>
        </w:rPr>
        <w:t>E. 2.2</w:t>
      </w:r>
    </w:p>
    <w:p>
      <w:r>
        <w:t>In den beiden vorliegenden Verfahren C-4401/2020 und C-4397/2020 geht es um eine Verrechnung einer Rückforderung mit Rentenleistungen. Die miteinander verheirateten Beschwerdeführenden befinden sich diesbezüglich sachlich in der gleichen Situation und es stellen sich bei beiden die gleichen Rechtsfragen. Entsprechend enthalten die vom Ehemann und der Ehefrau getrennt eingereichten Beschwerden auch die gleichen Rechtsbegehren und Vorbringen. Es rechtfertigt sich deshalb, die beiden Verfahren C-4401/2020 und C-4397/2020 zu vereinigen und über die Beschwerden in einem einzigen Urteil zu befinden, dies ungeachtet des Umstandes, dass mit den Einspracheentscheiden vom 3. und 4. August 2020 zwei separate vorinstanzliche Entscheide ergangen sind.</w:t>
      </w:r>
    </w:p>
    <w:p>
      <w:r>
        <w:rPr>
          <w:b/>
        </w:rPr>
        <w:t>E. 3.1</w:t>
      </w:r>
    </w:p>
    <w:p>
      <w:r>
        <w:t>Anfechtungsobjekt und damit Begrenzung des Streitgegenstands des vorliegenden Beschwerdeverfahrens (vgl. BGE 131 V 164 E. 2.1) bilden die Einspracheentscheide vom 3. und 4. August 2020, mit welchen die Vorinstanz ihre Verfügungen vom 13. Februar 2020 respektive die darin verfügten Verrechnungen der Rückerstattungsforderung von Fr. 89'280.- mit Abzügen von monatlich 500.- von der laufenden AHV-Altersrente des Beschwerdeführers bzw. der einmaligen Abfindung an die Beschwerdeführerin von Fr. 50'862.- bestätigt hat.</w:t>
      </w:r>
    </w:p>
    <w:p>
      <w:r>
        <w:rPr>
          <w:b/>
        </w:rPr>
        <w:t>E. 3.2</w:t>
      </w:r>
    </w:p>
    <w:p>
      <w:r>
        <w:t>Die Beschwerdeführenden können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MOSER/BEUSCH/KNEUBÜHLER, a.a.O., Rz. 2.7 f. und BGE 125 V 413 E. 2a).</w:t>
      </w:r>
    </w:p>
    <w:p>
      <w:r>
        <w:rPr>
          <w:b/>
        </w:rPr>
        <w:t>E. 3.3</w:t>
      </w:r>
    </w:p>
    <w:p>
      <w:r>
        <w:t>Die gestützt auf Art. 25 Abs. 1 ATSG erlassene Rückforderungsverfügung vom 24. Juli 2017 des Amts für Zusatzleistungen zur AHV/IV der Stadt Zürich ist in Rechtskraft erwachsen. Insoweit die Beschwerdeführenden gegen die Stadt Zürich eine "Gegenklage" auf Entschädigung erheben, weil diese die Ergänzungsleistungen gestoppt hätte, geht ihr Antrag über die in den Verfügungen geregelten Rechtsverhältnisse (Verrechnung der Rückerstattungsforderung mit Leistungen der AHV) hinaus. Deshalb ist im vorliegenden Beschwerdeverfahren auf das entsprechende Begehren nicht einzutreten.</w:t>
      </w:r>
    </w:p>
    <w:p>
      <w:r>
        <w:rPr>
          <w:b/>
        </w:rPr>
        <w:t>E. 3.4</w:t>
      </w:r>
    </w:p>
    <w:p>
      <w:r>
        <w:t>Streitig und vorliegend zu prüfen ist somit ausschliesslich die Zulässigkeit der monatlichen Abzüge von der Altersrente des Beschwerdeführers und der Einbehaltung der einmaligen Abfindung an die Beschwerdeführerin, welche die Vorinstanz zur Tilgung der Rückerstattungsforderung der Stadt Zürich verfügt hat.</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Begründung der Begehren der Parteien gebunden (Art. 62 Abs. 4 VwVG).</w:t>
      </w:r>
    </w:p>
    <w:p>
      <w:r>
        <w:rPr>
          <w:b/>
        </w:rPr>
        <w:t>E. 4.2</w:t>
      </w:r>
    </w:p>
    <w:p>
      <w:r>
        <w:t>Der Sozialversicherungsprozess ist vom Untersuchungsgrundsatz beherrscht. Danach haben die Verwaltung und das Gericht von Amtes wegen für die richtige und vollständige Abklärung des rechtserheblichen Sachverhaltes zu sorgen. Diese Untersuchungspflicht dauert so lange, bis über die für die Beurteilung des streitigen Anspruchs erforderlichen Tatsachen hinreichende Klarheit besteht. Dieser Grundsatz gilt indessen nicht uneingeschränkt; er findet sein Korrelat in den Mitwirkungspflichten der Parteien (BGE 125 V 195 E. 2; Urteil des BGer 8C_345/2014 vom 5. Juni 2015 E. 5.2.3).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Urteil des BGer 9C_951/2011 vom 26. April 2011 E. 6).</w:t>
      </w:r>
    </w:p>
    <w:p>
      <w:r>
        <w:rPr>
          <w:b/>
        </w:rPr>
        <w:t>E. 5.1</w:t>
      </w:r>
    </w:p>
    <w:p>
      <w:r>
        <w:t>Die Beschwerdeführenden sind kosovarische Staatsangehörige. Der Beschwerdeführer besitzt zudem die schweizerische Staatsangehörigkeit. Beide haben ihren Wohnsitz im Kosovo. Nach dem Zerfall der Föderativen Volksrepublik Jugoslawien blieben zunächst die Bestimmungen des Abkommens vom 8. Juni 1962 zwischen der Schweizerischen Eidgenossenschaft und der Föderativen Volksrepublik Jugoslawien über Sozialversicherung (SR 0.831.109.818.1; im Folgenden: Sozialversicherungsabkommen Jugoslawien) für alle Staatsangehörigen des ehemaligen Jugoslawiens anwendbar (BGE 126 V 198 E. 2B; BGE 122 V 381 E. 1). Ab dem 1. April 2010 war das Sozialversicherungsabkommen Jugoslawien jedoch nicht weiter auf kosovarische Staatsangehörige anwendbar (BGE 139 V 263). Die Nichtweiterführung des Sozialversicherungsabkommens mit der Republik Kosovo hatte zur Folge, dass deren Staatsangehörige nicht mehr die Rechtsstellung als Vertragsausländerinnen und -ausländer innehatten. Sie galten neu als Nichtvertragsausländerinnen und -ausländer (BGE 139 V 263 E. 14; 139 V 335 E. 6.1; Urteil des BGer 9C_279/2013 vom 25. September 2013 E. 3.2). Seit dem 1. September 2019 sind das Abkommen vom 8. Juni 2018 zwischen der Schweizerischen Eidgenossenschaft und der Republik Kosovo über soziale Sicherheit (SR 0.831.109.475.1; im Folgenden: Sozialversicherungsabkommen Kosovo) und die Verwaltungsvereinbarung vom 8. Juni 2018 zur Durchführung des Sozialversicherungsabkommens (SR 0.831.109.475.11) in Kraft. Gemäss Art. 35 des Sozialversicherungsabkommens Kosovo ("Übergangsbestimmungen") begründet es keine Leistungsansprüche für den Zeitraum vor seinem Inkrafttreten (Abs. 1).</w:t>
      </w:r>
    </w:p>
    <w:p>
      <w:r>
        <w:rPr>
          <w:b/>
        </w:rPr>
        <w:t>E. 5.2</w:t>
      </w:r>
    </w:p>
    <w:p>
      <w:r>
        <w:t>In zeitlicher Hinsicht sind - vorbehältlich besonderer übergangsrechtlicher Regelungen - grundsätzlich diejenigen Rechtssätze massgebend, die bei der Erfüllung des zu Rechtsfolgen führenden Tatbestandes Geltung haben. Es ist deshalb auf die im Zeitpunkt der Einspracheentscheide geltende Rechtslage abzustellen (BGE 136 V 24 E. 4.4; Urteil BVGer C-951/2019 vom 8. Juli 2020 E. 3.3). Da die Entscheide am 3. und 4. August 2020 ergangen sind, ist das Sozialversicherungsabkommen Kosovo anwendbar. Die Beschwerdeführenden gelten somit als Vertragsausländer.</w:t>
      </w:r>
    </w:p>
    <w:p>
      <w:r>
        <w:rPr>
          <w:b/>
        </w:rPr>
        <w:t>E. 5.3</w:t>
      </w:r>
    </w:p>
    <w:p>
      <w:r>
        <w:t>Nachdem das Abkommen bezüglich des Verfahrens der Rückerstattung mittels Verrechnung von AHV-Leistungen keine entsprechenden Bestimmungen enthält, bleibt dessen Ausgestaltung grundsätzlich Sache der innerstaatlichen Rechtsordnung.</w:t>
      </w:r>
    </w:p>
    <w:p>
      <w:r>
        <w:rPr>
          <w:b/>
        </w:rPr>
        <w:t>E. 6</w:t>
      </w:r>
    </w:p>
    <w:p>
      <w:r>
        <w:t>Zu prüfen ist, ob die Vorinstanz die Rückerstattungsforderung des Amts für Zusatzleistungen zur AHV/IV der Stadt Zürich gegenüber den Beschwerdeführenden zu Recht mit der laufender AHV-Altersrente des Beschwerdeführers und der Forderung der Beschwerdeführerin auf eine einmalige Abfindung verrechnet hat.</w:t>
      </w:r>
    </w:p>
    <w:p>
      <w:r>
        <w:rPr>
          <w:b/>
        </w:rPr>
        <w:t>E. 6.1</w:t>
      </w:r>
    </w:p>
    <w:p>
      <w:r>
        <w:t>Gemäss Art. 20 Abs. 2 AHVG können fällige Leistungen namentlich mit Forderungen aufgrund des AHVG und des IVG (Bst. a) mit Rückforderungen von Ergänzungsleistungen zur AHV und IV (Bst. b) und mit Rückforderungen von Renten und Taggeldern der obligatorischen Unfallversicherung, der Militärversicherung, der Arbeitslosenversicherung und der Krankenversicherung (Bst. c) verrechnet werden (vgl. FELIX FREY, Abwicklung der Zahlungen in: Recht der Sozialen Sicherheit, Handbücher für die Anwaltspraxis, Band XI, 2014, Rz. 9.28; Rz. 10901 ff. der Wegleitung über die Renten in der Eidgenössischen Alters-, Hinterlassenen- und Invalidenversicherung des Bundesamtes für Sozialversicherung [nachfolgend: RWL, gültig ab 1. Januar 2003, Stand 1. Januar 2020]). Nach der Rechtsprechung wird durch Art. 20 Abs. 2 AHVG eine eigene Ordnung geschaffen, welche auf die Besonderheiten der Sozialgesetzgebung im AHV-Bereich zugeschnitten ist (BGE 125 V 317 E. 5a m.w.H.), und über die obligationenrechtlichen Regeln (Art. 120 Abs. 1 OR), wie sie auch im Verwaltungsrecht zur Anwendung gelangen, hinausgeht (BGE 115 V 342 E. 2b und 110 185 E. 2).</w:t>
      </w:r>
    </w:p>
    <w:p>
      <w:r>
        <w:rPr>
          <w:b/>
        </w:rPr>
        <w:t>E. 6.2</w:t>
      </w:r>
    </w:p>
    <w:p>
      <w:r>
        <w:t>Eine verrechenbare Forderung muss einer Ausgleichskasse zustehen (vgl. Rz. 10904 RWL). Zahlt die forderungsberechtigte Ausgleichskasse die Rente nicht selbst aus, so hat sie der rentenauszahlenden Kasse einen schriftlichen Verrechnungsauftrag zu erteilen. Es obliegt der forderungsberechtigten Ausgleichskasse das Resultat der Prüfung des betreibungsrechtlichen Existenzminimums der rentenauszahlenden Ausgleichskasse schriftlich mitzuteilen. Die forderungsberechtigte Ausgleichskasse hat das Resultat der Prüfung des betreibungsrechtlichen Existenzminimums der rentenauszahlenden Ausgleichskasse schriftlich mitzuteilen. Die beauftragte Kasse muss dem Auftrag Folge geben und die Verrechnung vornehmen (vgl. Rz. 10925 f. RWL).</w:t>
      </w:r>
    </w:p>
    <w:p>
      <w:r>
        <w:rPr>
          <w:b/>
        </w:rPr>
        <w:t>E. 6.3</w:t>
      </w:r>
    </w:p>
    <w:p>
      <w:r>
        <w:t>Der Rückerstattungsverfügung vom 24. Juli 2017 (vgl. C-4397/2020 act. 12 S. 4 f.) kann entnommen werden, dass sich die Forderung aus Ergänzungsleistungen in der Höhe von Fr. 51'055.-, Beihilfen von Fr. 18'483.- und Gemeindezuschüsse von Fr. 19'742.- zusammensetzt. Demzufolge wäre die Vorinstanz gestützt auf Art. 20 Abs. 2 Bst. b AHVG lediglich befugt gewesen einen Teil der rechtskräftig festgelegten Rückerstattungsforderung, nämlich Fr. 51'055.- aus unrechtmässig bezogenen Leistungen des Amts für Zusatzleistungen zur AHV/IV der Stadt Zürich (Ergänzungsleistungen) mit der laufenden AHV-Altersrente des Beschwerdeführers und der Forderung (einmaligen Abfindung) der Beschwerdeführerin zu verrechnen. Unrechtmässig bezogene Gemeindezuschüsse und Beihilfen können nicht verrechnet werden (vgl. auch Rz. 10910 ff. RWL).</w:t>
      </w:r>
    </w:p>
    <w:p>
      <w:r>
        <w:rPr>
          <w:b/>
        </w:rPr>
        <w:t>E. 6.4</w:t>
      </w:r>
    </w:p>
    <w:p>
      <w:r>
        <w:t>Beim Amt für Zusatzleistungen zur AHV/IV der Stadt Zürich handelt es sich nicht um eine Ausgleichskasse. Das Amt ist deshalb gehalten, bei der kantonalen Ausgleichskasse einen Verrechnungsauftrag einzuholen und bei der Vorinstanz einen neuen Antrag auf Verrechnung zu stellen (vgl. E. 6.2).</w:t>
      </w:r>
    </w:p>
    <w:p>
      <w:r>
        <w:rPr>
          <w:b/>
        </w:rPr>
        <w:t>E. 6.5</w:t>
      </w:r>
    </w:p>
    <w:p>
      <w:r>
        <w:t>Zusammenfassend betrug der von der Vorinstanz verrechenbare Forderungsbetrag gemäss der Rückerstattungsverfügung des Amts für Zusatzleistungen zur AHV/IV lediglich Fr. 51'055- und nicht Fr. 89'280.-. Mangels schriftlichen Verrechnungsauftrag der kantonalen Ausgleichskasse war die Vorinstanz jedoch weder befugt, diesen Betrag mit der laufenden AHV-Altersrente des Beschwerdeführers von Fr. 1'961.- durch einen monatlichen Einbehalt von Fr. 500.- noch mit der einmaligen Abfindung für die Beschwerdeführerin von Fr. 50 862.- zu verfügen. Nach dem Gesagten sind die Beschwerden, soweit darauf einzutreten ist (vgl. vorne E. 3.3), gutzuheissen und die angefochtenen Einspracheentscheide vom 3. und 4. August 2020 sind aufzuheben. Die Sache ist an die Vorinstanz zur Neubeurteilung zurückzuweisen (Art. 61 Abs. 1 VwVG).</w:t>
      </w:r>
    </w:p>
    <w:p>
      <w:r>
        <w:rPr>
          <w:b/>
        </w:rPr>
        <w:t>E. 7.1</w:t>
      </w:r>
    </w:p>
    <w:p>
      <w:r>
        <w:t>Das Verfahren ist kostenlos (Art. 85bis Abs. 2 AHVG), weshalb keine Verfahrenskosten zu erheben sind. Den obsiegenden Beschwerdeführenden sind soweit ersichtlich keine unverhältnismässig hohen Kosten entstanden, weshalb ihnen keine Parteientschädigung zuzusprechen ist (vgl. Art. 64 Abs. 1 VwVG i.V.m. Art. 7 Abs. 3 und 4 des Reglements vom 21. Februar 2008 über die Kosten und Entschädigungen vor dem Bundesverwaltungsgericht [VGKE, SR 173.320.2]). Die unterliegende Vorinstanz hat ebenfalls keinen Anspruch auf eine Parteientschädigung (Art. 64 Abs. 1 VwVG und Art. 7 Abs. 1 VGKE, je e contrario;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