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C-4399/2011 vom 20. Dezember 2012</w:t>
      </w:r>
    </w:p>
    <w:p>
      <w:r>
        <w:t>Bundesverwaltungsgericht, 2012-12-20, DE</w:t>
      </w:r>
    </w:p>
    <w:p>
      <w:r>
        <w:rPr>
          <w:b/>
        </w:rPr>
        <w:t xml:space="preserve">Quelle: </w:t>
      </w:r>
      <w:r>
        <w:t>https://mcp.opencaselaw.ch/entscheid/bvger_C-4399_2011</w:t>
      </w:r>
    </w:p>
    <w:p>
      <w:r>
        <w:t>FR: TAF C-4399/2011 du 20 décembre 2012</w:t>
      </w:r>
    </w:p>
    <w:p>
      <w:r>
        <w:t>IT: TAF C-4399/2011 del 20 dicembre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seine frist- und form­gerechte Beschwerde ist einzutreten (Art. 50 und 52 VwVG), soweit er damit die Aufhebung der angefochtenen Verfügung beantragt, nicht aber, soweit er damit die - in die kantonale Zuständigkeit fallende - Erteilung bzw. Verlängerung seiner Aufenthalts- und Arbeitsbewilligung erreichen möchte.</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Januar 2008 traten die neuen gesetzlichen Bestimmungen des Ausländergesetzes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sind zwar noch unter dem Geltungsbereich des Bundesgesetzes vom 26. März 1931 über Aufenthalt und Nieder­lassung der Ausländer (ANAG, BS 1 121) Aufenthalts­bewilligungen aufgrund seiner beiden Eheschliessungen mit einer Schweizerin erteilt worden; da es jedoch im vorliegenden Fall um die Verlängerung der ihm letztmals bis zum 20. Juni 2011 erteilen Bewilligung geht, ist neues Recht anwendbar.</w:t>
      </w:r>
    </w:p>
    <w:p>
      <w:r>
        <w:rPr>
          <w:b/>
        </w:rPr>
        <w:t>E. 3.2</w:t>
      </w:r>
    </w:p>
    <w:p>
      <w:r>
        <w:t>Gemäss Art. 40 AuG sind die Kantone zuständig für die Erteilung und Verlängerung von Bewilligungen. Vorbehalten bleibt jedoch die Zustim­mung durch das BFM sowie dessen Zuständigkeit betreffend Abweichungen von den Zulassungsvoraussetzungen nach Art. 30 AuG. Das Zustimmungserfordernis ergibt sich im vor­­liegenden Fall aus Art. 99 AuG i.V.m. Art. 85 Abs. 1 Bst. a VZAE. Letztgenannte Bestimmung wird präzisiert durch die Weisungen des BFM im Ausländerbereich in der Fassung vom 16. Juli 2012 (www.bfm.ch &gt; Dokumentation &gt; Rechtliche Grundlagen &gt; Weisungen und Kreisschreiben &gt; I. Ausländerbereich &gt; 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3.3</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Massgeblicher Zeitpunkt für die retrospektive Berechnung der Dauer der ehelichen Gemeinschaft ist in der Regel die Aufgabe der Haushaltsgemeinschaft. Eine Ausnahme vom Erfordernis des Zusammenwohnens besteht gemäss Art. 49 AuG dann, wenn für getrennte Wohnorte wichtige Gründe geltend gemacht werden und die Familiengemeinschaft weiter besteht (vgl. BGE 138 II 229 E. 2 mit Hinweis).</w:t>
      </w:r>
    </w:p>
    <w:p>
      <w:r>
        <w:rPr>
          <w:b/>
        </w:rPr>
        <w:t>E. 3.4</w:t>
      </w:r>
    </w:p>
    <w:p>
      <w:r>
        <w:t>Sind im Falle der Auflösung der ehelichen Gemeinschaft die Voraussetzungen von Art. 50 Abs. 1 Bst. a AuG nicht gegeben, so bleibt gemäss Art. 50 Abs. 1 Bst. b AuG zu prüfen, ob wichtige persönliche Gründe einen weiteren Aufenthalt in der Schweiz erforderlich machen.</w:t>
      </w:r>
    </w:p>
    <w:p>
      <w:r>
        <w:rPr>
          <w:b/>
        </w:rPr>
        <w:t>E. 4</w:t>
      </w:r>
    </w:p>
    <w:p>
      <w:r>
        <w:t>Die erste, unmittelbar nach seiner Einreise in Schweiz geschlossene Ehe des Beschwerdeführers fällt bei der Prüfung der Voraussetzungen gemäss Art. 50 Absatz 1 Bst. a AuG ausser Betracht. Mit seiner zweiten Ehefrau lebte der Beschwerdeführer zwei Jahre und acht Monate lang im selben Haushalt. Dass die eheliche Gemeinschaft länger gedauert habe, wird von ihm nicht behauptet. Dementsprechend fällt ein auf Art. 50 Abs. 1 Bst. a AuG gestützter Anspruch auf Verlängerung seiner Aufenthaltsbewilligung nicht in Betracht. Der Beschwerdeführer hat sich denn auch nur auf Art. 50 Abs. 1 Bst. b AuG berufen und den Standpunkt vertreten, in seinem Fall müsse die Aufenthaltsbewilligung aus wichtigen persönlichen Gründen verlängert werden.</w:t>
      </w:r>
    </w:p>
    <w:p>
      <w:r>
        <w:rPr>
          <w:b/>
        </w:rPr>
        <w:t>E. 4.1</w:t>
      </w:r>
    </w:p>
    <w:p>
      <w:r>
        <w:t>Wichtige persönliche Gründe im Sinne von Art. 50 Abs. 1 Bst. b AuG können - so explizit Art. 50 Abs. 2 AuG - dann vorliegen, wenn der betreffende Ehegatte Opfer ehelicher Gewalt wurde und seine soziale Wiedereingliederung im Herkunftsland stark gefährdet erscheint; beide Bedingungen müssen nicht kumulativ erfüllt sein (BGE 136 II 1 E. 5). Weitere wichtige, im Zusam­men­hang mit der Ehe stehenden Gründe können sich auch daraus ergeben, dass der in der Schweiz lebende Ehepartner gestorben ist oder gemein­same Kinder vorhanden sind (vgl. BGE 138 II 229 E. 3.1; Marc Spescha in: Spescha/Thür/Zünd/Bolzli, Kommentar Migrationsrecht, 3. Aufl., Zürich 2012, Art. 50 AuG N 7 ff. sowie Mar­tina Caroni in: Caroni/Gächter/Thurnherr [Hrsg.], Stämpflis Handkommentar zum Bundesgesetz über die Ausländerinnen und Ausländer, Art. 50 N 23 f.).</w:t>
      </w:r>
    </w:p>
    <w:p>
      <w:r>
        <w:rPr>
          <w:b/>
        </w:rPr>
        <w:t>E. 4.2</w:t>
      </w:r>
    </w:p>
    <w:p>
      <w:r>
        <w:t>Vergleichbare Umstände bestehen im vorliegenden Fall nicht. Insbesondere ist nicht ersichtlich, dass gerade die Trennung und Scheidung von der zweiten Ehefrau die Wiedereingliederung des Beschwerdeführers in seinem Heimatland erheblich gefährden könnte. Dieser hat zwar behauptet, seine Eltern hätten sich wegen der Heirat mit einer Europäerin von ihm abgewendet; dieser Umstand kann für sich allein betrachtet jedoch nicht dazu führen, dass ihm die Rückkehr nach Tunesien nicht zuzumuten wäre. Gleiches gilt für den Grund, sprich Fremdbeziehung der zweiten Ehefrau, der angeblich zur Trennung des Ehepaares geführt hat. Auf beide Aspekte wird allerdings noch in einem weiter gefassten Zusammenhang eingegangen werden (siehe E. 5.3 und 5.4).</w:t>
      </w:r>
    </w:p>
    <w:p>
      <w:r>
        <w:rPr>
          <w:b/>
        </w:rPr>
        <w:t>E. 4.3</w:t>
      </w:r>
    </w:p>
    <w:p>
      <w:r>
        <w:t>Demzufolge gibt es keine spezifischen, auf seiner Ehe bzw. deren Auflösung beruhenden Gründe, die dem Beschwerdeführer einen Anspruch auf weiteren Verbleib in der Schweiz verschaffen könnten: Seine eheliche Beziehung war kurz und blieb kinderlos; allein hieraus lässt sich keine besondere Bindung zur Schweiz oder aber eine Beeinträchtigung der Wiedereingliederungschancen im Heimatland ableiten.</w:t>
      </w:r>
    </w:p>
    <w:p>
      <w:r>
        <w:rPr>
          <w:b/>
        </w:rPr>
        <w:t>E. 5</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137 II 345 E. 3.2.3 mit weiteren Hinweisen). Ausdrücklich werden dort aufgeführt: die Integration (Bst. a), die Respektierung der Rechtsordnung (Bst. b), die Familienverhältnisse (Bst. c), die finanziellen Verhältnisse sowie der Wille zur Teilhabe am Wirtschaftleben und zum Erwerb von Bildung (Bst. d), die Dauer der Anwesenheit (Bst. e), der Gesundheitszustand (Bst. f) und die Möglichkeiten der Wiedereingliederung im Herkunftsland (Bst. g). Entscheidend für die Bejahung eines Härtefalls ist, ob die persönliche, berufliche und familiäre Wiedereingliederung der betroffenen ausländischen Person stark gefährdet erscheint, und nicht, ob diese ein Leben in der Schweiz - aus welchen Gründen auch immer - vorziehen würde (vgl. BGE 137 II 345 E. 3.2.3 und Urteil des Bundesgerichts 2C_­775/2012 vom 23. August 2012 E. 2.2).</w:t>
      </w:r>
    </w:p>
    <w:p>
      <w:r>
        <w:rPr>
          <w:b/>
        </w:rPr>
        <w:t>E. 5.1</w:t>
      </w:r>
    </w:p>
    <w:p>
      <w:r>
        <w:t>Zweifelsohne hat sich der Beschwerdeführer in privater und beruflicher Hinsicht in der Schweiz integrieren können. Seine Sprachkenntnisse und Kommunikationsmöglichkeiten sind offensichtlich gut, er hat einen ein­wandfreien strafrechtlichen Leumund, keine Schulden und bestreitet seinen Lebensunterhalt selbst. Dass er auf einen Kreis namentlich bezeichneter Freunde verweist, spricht dafür, dass er sich während seines bisherigen Aufenthalts ein der Dauer entsprechendes Beziehungsnetz hat aufbauen können. In beruflicher Hinsicht hat sich der Beschwerdeführer ebenfalls integrieren können.</w:t>
      </w:r>
    </w:p>
    <w:p>
      <w:r>
        <w:rPr>
          <w:b/>
        </w:rPr>
        <w:t>E. 5.2</w:t>
      </w:r>
    </w:p>
    <w:p>
      <w:r>
        <w:t>Demgegenüber sieht sich der Beschwerdeführer selbst als überdurchschnittlich integriert und beruflich qualifiziert, woraus er eine enge Ver­bundenheit mit der Schweiz ableitet. Für eine solche Annahme reichen die von ihm beschriebenen sozialen Kontakte - hierzu gehören ein Sport- sowie frühere und derzeitige Arbeitskollegen - jedoch auch unter Berücksichtigung der ihm entgegengebrachten beruflichen Wertschätzung nicht aus. Dass seine Arbeitgeberfirma in ihm einen unentbehrlich gewordenen Mitarbeiter sähe, geht zudem aus den von ihm eingereichten Schriftstücken, mit denen der Beschwerdeführer diese Behauptung untermauern möchte (vgl. Beilagen 5 und 11), gar nicht hervor. Obwohl durchaus wohlwollend, können diese Bescheinigungen nicht darüber hin­weg­täuschen, dass der Beschwerdeführer bisher lediglich angelernte und durch learning by doing weiter zu entwickelnde Tätigkeiten ausübt, die schon von daher nicht über das übliche Mass beruflicher Integration hin-ausgehen.</w:t>
      </w:r>
    </w:p>
    <w:p>
      <w:r>
        <w:rPr>
          <w:b/>
        </w:rPr>
        <w:t>E. 5.3</w:t>
      </w:r>
    </w:p>
    <w:p>
      <w:r>
        <w:t>Da der Beschwerdeführer erst knapp 32 Jahre alt ist und keine gesundheitlichen Probleme hat, kann von ihm schon aufgrund dessen erwartet werden, dass er sich in seinem Herkunftsland reintegriert. Mittlerweile hält er sich zwar fast zehn Jahre in der Schweiz auf; die blosse Aufenthaltsdauer ist jedoch kein Kriterium, das für sich allein genommen einen nachehelichen Härtefall begründen könnte, kann diese doch - ohne dass hierdurch zwangsläufig ein Aufenthaltsrecht entsteht - durch das Verhalten des Betroffenen beeinflusst werden (vgl. zitiertes Urteil des Bundesgerichts 2C_406/2012 E. 3.3). Im Falle des Beschwerdeführers ist festzustellen, dass schon dessen an seine erste Ehe geknüpfte Aufenthaltsbewilligung aufgrund der damaligen Trennung nicht mehr über den 16. Januar 2006 hinaus verlängert wurde, dass er aber trotzdem rund weitere anderthalb Jahre in der Schweiz blieb, bevor er aufgrund seiner zweiten Eheschliessung einen erneuten Aufenthaltsanspruch erwarb. Nach der Trennung von seiner zweiten Ehefrau war ihm daher zwangsläufig bewusst, dass sein Anspruch auf weiteren Verbleib in der Schweiz fraglich war. Soweit sich der Beschwerdeführer auf die aus seiner Sicht unverschuldete Beendigung seiner zweiten Ehe und die hierdurch zunichte gewordenen Hoffnungen auf ein an diese Ehe geknüpftes Aufenthaltsrecht beruft, können diese Umstände nicht als wichtige persönliche Gründe für einen weiteren Aufenthalt in der Schweiz betrachtet werden. Vielmehr ist die Konstellation einer - auf welche Weise auch immer - aufgelösten Ehe Voraussetzung für die Anwendung der Bestimmungen von Art. 50 Abs. 1 Bst. a und Bst. b AuG.</w:t>
      </w:r>
    </w:p>
    <w:p>
      <w:r>
        <w:rPr>
          <w:b/>
        </w:rPr>
        <w:t>E. 5.4</w:t>
      </w:r>
    </w:p>
    <w:p>
      <w:r>
        <w:t>Schliesslich hat der Beschwerdeführer geltend gemacht, dass ihm die Rückkehr in sein Heimatland nicht zumutbar sei, weil er dort kein Beziehungsnetz mehr vorfände. Hierzu hat er sich allerdings zuerst, in seiner Rechtsmitteleingabe, nur allgemein geäussert. Erst nachdem die vor-instanzliche Vernehmlassung seine fehlenden Angaben zu etwaigen Familienangehörigen beanstandet hatte, führte der Beschwerdeführer zum einen aus, er habe die Kontakte zu seine Familie abbrechen müssen, zum anderen, seine Eltern hätten sich wegen der Heirat mit einer Europäerin von ihm abgewendet. Ob letztere Behauptung geglaubt werden kann, sei dahingestellt. Zumindest lassen die auch in seiner Replik wenig konkreten Ausführungen darauf schliessen, dass der Beschwerdeführer in seinem Heimatland über ein familiäres Umfeld verfügt, welches über die Beziehung zu seinen Eltern hinausgeht. Warum er diese weiteren familiären Kontakte nicht mehr sollte in Anspruch nehmen können, ist nicht ersichtlich. Schliesslich ist festzustellen, dass der Beschwerdeführer vor seiner Einreise in die Schweiz als animateur touristique beschäftigt war (vgl. sein Visumgesuch um 29. Oktober 2002). Von daher kann ohne Weiteres davon ausgegangen werden, dass er, nicht zuletzt aufgrund der hier erworbenen Deutschkenntnisse, nochmals im Tourismussektor beruflich Fuss fassen kann. Dass der Beschwerdeführer demgegenüber ein Leben in der Schweiz vorziehen würde, ist nicht entscheidend.</w:t>
      </w:r>
    </w:p>
    <w:p>
      <w:r>
        <w:rPr>
          <w:b/>
        </w:rPr>
        <w:t>E. 5.5</w:t>
      </w:r>
    </w:p>
    <w:p>
      <w:r>
        <w:t>Vor dem dargelegten Hintergrund ist eine Härtefallsituation des Beschwerdeführers nicht erkennbar. Vielmehr kann entgegen dessen eigener Darstellung davon ausgegangen werden, dass ihm die persönliche, berufliche und familiäre Wiedereingliederung in seiner Heimat gelingen wird. Wichtige Gründe, die gemäss Art. 50 Abs. 1 Bst. b AuG die Verlängerung seines Aufenthalts erfordern würden, liegen daher nicht vor.</w:t>
      </w:r>
    </w:p>
    <w:p>
      <w:r>
        <w:rPr>
          <w:b/>
        </w:rPr>
        <w:t>E. 6</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7</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7.1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7.2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7.3</w:t>
      </w:r>
    </w:p>
    <w:p>
      <w:r>
        <w:t>Die Sicherheitslage in Tunesien hat sich weitestgehend stabilisiert. In Reise­hinweisen für dieses Land wird dazu geraten, Menschenansammlungen und Demonstrationen, insbesondere auch solche im zeitlichen Umfeld zum Frei­tags­gebet zu meiden. Touristen werden ebenfalls auf die Gefahren bei Reisen in die Sahara im Grenzgebiet zwischen Tunesien, Algerien und Libyen und vor allem auf das dort bestehende Risiko von Entführungen hingewiesen (Quellen: http://www.eda &gt; Reisehinweise &gt; Reisehinweise Tunesien [Stand: 25. November 2011] sowie http://www. auswärtiges amt.de &gt; Reise &amp; Sicherheit &gt; Übersicht &gt; Tunesien &gt; Reise- und Sicherheitshinweise [Stand: 25. November 2011]). Hieraus ergibt sich nicht, dass der Beschwerdeführer bei seiner Rückkehr in sein Herkunftsland einer existentiellen Bedrohung ausgesetzt wäre. Eine Situation allgemeiner Gewalt, der nicht ausgewichen werden könnte, besteht nicht. Aus welchen Gründen die Wegweisung für den Beschwerdeführer zu einer existenzbedrohenden Situation führen könnte, ist auch ansonsten nicht erkennbar. Der Vollzug seiner Wegweisung ist damit als zumutbar zu erachten.</w:t>
      </w:r>
    </w:p>
    <w:p>
      <w:r>
        <w:rPr>
          <w:b/>
        </w:rPr>
        <w:t>E. 8</w:t>
      </w:r>
    </w:p>
    <w:p>
      <w:r>
        <w:t>Aus diesen Darlegungen folgt, dass die angefochtene Verfügung im Ergebnis als recht­mässig zu bestätigen ist (Art. 49 VwVG). Die Beschwerde ist demzufolge abzuweisen.</w:t>
      </w:r>
    </w:p>
    <w:p>
      <w:r>
        <w:rPr>
          <w:b/>
        </w:rPr>
        <w:t>E. 9</w:t>
      </w:r>
    </w:p>
    <w:p>
      <w:r>
        <w:t>Entsprechend dem Ausgang des Verfahrens sind dem Beschwerdeführer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