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C-4395/2015 vom 23. Februar 2016</w:t>
      </w:r>
    </w:p>
    <w:p>
      <w:r>
        <w:t>Bundesverwaltungsgericht, 2016-02-23, DE</w:t>
      </w:r>
    </w:p>
    <w:p>
      <w:r>
        <w:rPr>
          <w:b/>
        </w:rPr>
        <w:t xml:space="preserve">Quelle: </w:t>
      </w:r>
      <w:r>
        <w:t>https://mcp.opencaselaw.ch/entscheid/bvger_C-4395_2015</w:t>
      </w:r>
    </w:p>
    <w:p>
      <w:r>
        <w:t>FR: TAF C-4395/2015 du 23 février 2016</w:t>
      </w:r>
    </w:p>
    <w:p>
      <w:r>
        <w:t>IT: TAF C-4395/2015 del 23 febbraio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soweit sie das Einreiseverbot betrifft und nicht das Gesuch um ein (befristetes) Aufenthaltsrecht in der Schweiz sowie in den Schengen-Mitgliedstaaten beinhaltet, kann doch Streitgegenstand nur sein, was vom Anfechtungsgegenstand erfasst wird (vgl. Art. 49 ff. VwVG).</w:t>
      </w:r>
    </w:p>
    <w:p>
      <w:r>
        <w:rPr>
          <w:b/>
        </w:rPr>
        <w:t>E. 1.4</w:t>
      </w:r>
    </w:p>
    <w:p>
      <w:r>
        <w:t>Das Bundesverwaltungsgericht entscheidet in der vorliegenden Streit-sache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absehenoder ein Einreiseverbot vollständig oder vorüber­gehend aufheben (Art. 67 Abs. 5 AuG).</w:t>
      </w:r>
    </w:p>
    <w:p>
      <w:r>
        <w:rPr>
          <w:b/>
        </w:rPr>
        <w:t>E. 3.2</w:t>
      </w:r>
    </w:p>
    <w:p>
      <w:r>
        <w:t>Das in Art. 67 AuG geregelte Einreiseverbot stellt keine Sanktion dar, sondern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(vgl. Urteil des BVGer C-820/2009 vom 9. März 2011 E. 5 m.H.).</w:t>
      </w:r>
    </w:p>
    <w:p>
      <w:r>
        <w:rPr>
          <w:b/>
        </w:rPr>
        <w:t>E. 4.1</w:t>
      </w:r>
    </w:p>
    <w:p>
      <w:r>
        <w:t>Die Vorinstanz wirft dem Beschwerdeführer in ihrer Verfügung vor, sich während mehr als dreissig Tagen über den bewilligungsfreien Aufenthalt hinaus illegal im Schengen-Raum aufgehalten zu haben. Damit liege gemäss ständiger Praxis und Rechtsprechung ein ernstzunehmender Verstoss gegen die öffentliche Sicherheit und Ordnung im Sinne von Art. 67 AuG vor.</w:t>
      </w:r>
    </w:p>
    <w:p>
      <w:r>
        <w:rPr>
          <w:b/>
        </w:rPr>
        <w:t>E. 4.2</w:t>
      </w:r>
    </w:p>
    <w:p>
      <w:r>
        <w:t>Die Einreise von Drittstaatsangehörigen in das Hoheitsgebiet der Schengen-Staaten für einen Kurzaufenthalt von bis zu drei Monaten je Sechsmonatszeitraum fällt in den persönlichen und sachlichen Anwendungsbereich des Schengen-Rechts (vgl. Art. 5 Abs. 1 der Verordnung [EG] Nr. 562/2006 des Europäischen Parlaments und des Rates vom 15. März 2006 über einen Gemeinschaftskodex für das Überschreiten der Grenzen durch Personen [Schengener Grenzkodex, SGK, Abl. L 105 vom 13. April 2006, S. 1-32], Art. 1 Abs. 1 des Schengener Durchführungsübereinkommens, SDÜ, Abl. L 239 vom 22. September 2000, S. 19-62), das widersprechendem Landesrecht vorgeht (Art. 2 Abs. 4 AuG). Es vermittelt visumspflichtbefreiten Ausländern, zu denen der Beschwerdeführer als Inhaber eines (biometrischen) mazedonischen Reisepasses gehört (vgl. Art. 1 Abs. 1 der Verordnung [EG] Nr. 1244/2009 des Rates vom 30. November 2009 zur Änderung der Verordnung [EG] Nr. 539/2001, ABl. L 336 vom 18. Dezember 2009, S. 1-3), unter anderem das Recht, sich im Hoheitsgebiet der Schengen-Staaten frei zu bewegen, höchstens jedoch drei Monate innerhalb einer Frist von sechs Monaten vom Datum der ersten Einreise an und soweit sie die in Art. 5 Abs. 1 Bst. a, c, d, und e aufgeführten Einreisevoraussetzungen erfüllen (Art. 20 Abs. 1 SDÜ). Ohne Bedeutung ist, ob sich der zulässige Höchstaufenthalt von drei Monaten auf einen oder mehrere Aufenthalte verteilt und ob er einen oder mehrere Schengen-Staaten betrifft (vgl. Urteil des BVGer C 3333/2011 vom 19. September 2013 E. 7.1 m.w.H.).</w:t>
      </w:r>
    </w:p>
    <w:p>
      <w:r>
        <w:rPr>
          <w:b/>
        </w:rPr>
        <w:t>E. 4.3</w:t>
      </w:r>
    </w:p>
    <w:p>
      <w:r>
        <w:t>Dagegen werden Aufenthalte von mehr als drei Monaten je Sechsmonatszeitraum und Einreisen zu solchen Aufenthalten vom Schengen-Recht nicht erfasst. Ihre Rechtsmässigkeit richtet sich nach dem innerstaatlichen Recht, das im Falle der Schweiz Einreisen von zusätzlichen Voraussetzungen, namentlich der Einholung eines nationalen Visums, abhängig macht (Art. 2 und Art. 5 der Verordnung vom 22. Oktober 2008 über die Einreise und die Visumerteilung [VEV, SR 142.204]) und Aufenthalte ausserhalb des vom Schengen-Recht zeitlich gezogenen Rahmens der Bewilligungspflicht unterstellt (vgl. Art. 10 AuG i.V.m. Art. 9 VZAE für nicht erwerbstätige Personen und Art. 11 AuG für erwerbstätige Personen). Im zuletzt erwähnten Zusammenhang ist darauf hinzuweisen, dass an den bewilligungsfreien Aufenthalt, den Art. 10 Abs. 1 AuG nicht erwerbstätigen Ausländern zugesteht, Aufenthalte in anderen Schengen-Staaten angerechnet werden (vgl. Ziff. 3.1.1 der Weisungen des SEM zur Aufenthaltsregelung [Stand: 6. Januar 2016], online verfügbar auf: www.sem.admin.ch &gt; Publikationen &amp; Service &gt; Weisungen und Kreisschreiben &gt; I. Ausländerbereich &gt; 3 Aufenthaltsregelung, besucht am 18. Januar 2016; ferner Philipp Egli/Tobias D. Meyer in: Caroni/Gächter/Thurnherr [Hrsg.], Stämpflis Handkommentar zum Bundesgesetz über Ausländerinnen und Ausländer, Bern 2010, N. 9 zu Art. 10; vgl. Urteil des BVGer C-3333/2011 E. 7.2).</w:t>
      </w:r>
    </w:p>
    <w:p>
      <w:r>
        <w:rPr>
          <w:b/>
        </w:rPr>
        <w:t>E. 4.4</w:t>
      </w:r>
    </w:p>
    <w:p>
      <w:r>
        <w:t>Der Beschwerdeführer bestreitet nicht, sich über den bewilligungsfreien Aufenthalt hinaus im Schengen-Raum aufgehalten zu haben, macht in diesem Zusammenhang jedoch geltend, dies sei aus humanitären Gründen geschehen, habe doch die Mutter seiner Ex-Ehefrau am 8. Juni 2015 notfallmässig hospitalisiert und aufgrund eines bösartigen Hirntumors behandelt werden müssen. Da ihn auch nach der Ehescheidung eine tiefe Freundschaft mit seiner Ex-Ehefrau verbinde, habe er dieser während der für sie äusserst schweren Zeit emotionalen Beistand leisten wollen. Dieser, nicht bereits anlässlich der polizeilichen Einvernahme, sondern erst auf Beschwerdeebene erhobene Einwand vermag schon deshalb nicht zu überzeugen, weil sich der Beschwerdeführer - nach vorgängigem bewilligungsfreiem 90-tägigen Aufenthalt - bereits seit dem 11. April 2015 widerrechtlich in der Schweiz aufhielt, die ins Feld geführte notfallmässige Spitaleinlieferung der Mutter seiner Ex-Ehefrau jedoch erst rund acht Wochen später erfolgte. In Bezug auf die Verfehlungen, derentwegen der Beschwerdeführer straf- und ausländerrechtlich belangt wurde, gilt zudem allgemein,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 wie vom Beschwerdeführer geltend gemacht -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bei den zuständigen Stellen zu informieren. Ein vorsätzlicher Verstoss gegen ausländerrechtliche Bestimmungen, von dem allerdings der Strafrichter ausging, ist mithin nicht erforderlich (vgl. Urteil des BVGer C-2438/2014 vom 14. November 2014 E. 5.4 m.H.).</w:t>
      </w:r>
    </w:p>
    <w:p>
      <w:r>
        <w:rPr>
          <w:b/>
        </w:rPr>
        <w:t>E. 4.5</w:t>
      </w:r>
    </w:p>
    <w:p>
      <w:r>
        <w:t>Vor diesem Hintergrund gilt es als erstellt, dass der Beschwerdeführer mit der nicht unerheblichen Überschreitung des bewilligungsfreien Aufenthaltes im Schengen-Raum fraglos gegen die öffentliche Sicherheit und Ordnung verstossen und unter dem Gesichtspunkt von Art. 67 Abs. 2 Bst. a AuG hinreichenden Anlass für die Verhängung einer Fernhaltemassnahme gegeben hat.</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w:t>
      </w:r>
    </w:p>
    <w:p>
      <w:r>
        <w:rPr>
          <w:b/>
        </w:rPr>
        <w:t>E. 5.2</w:t>
      </w:r>
    </w:p>
    <w:p>
      <w:r>
        <w:t>Der Beschwerdeführer hielt sich - wie oben erwähnt - während mehr als zwei Monaten rechtswidrig im Schengen-Raum auf. Vorliegend kann somit nicht von einem leichten Fehlverhalten ausgegangen werden, besteht doch an der Einhaltung von Einreise- und Aufenthaltsvorschriften ein gewichtiges öffentliches Interesse. Dabei liegt insbesondere ein generalpräventiv motiviertes öffentliches Interesse an der Fernhaltung des Beschwerdeführers vor, dies auch im Sinne einer kontinuierlichen Praxis. Zudem ist eine spezialpräventive Zielsetzung der Massnahme darin zu sehen, dass sie den Betroffenen ermahnt, bei einer allfälligen künftigen Wiedereinreise in die Schweiz nach Ablauf der Dauer des Einreiseverbots die für ihn geltenden Regeln einzuhalten (vgl. hierzu Urteil des BVGer C 2772/2010 vom 3. Februar 2012 E. 6.1). Es besteht somit ein gewichtiges öffentliches Interesse an einer (mehrjährigen) Fernhaltung des Beschwerdeführers.</w:t>
      </w:r>
    </w:p>
    <w:p>
      <w:r>
        <w:rPr>
          <w:b/>
        </w:rPr>
        <w:t>E. 5.3</w:t>
      </w:r>
    </w:p>
    <w:p>
      <w:r>
        <w:t>Das öffentliche Interesse an der befristeten Fernhaltung des Beschwerdeführers lässt sich mit den von ihm geltend gemachten familiären und beruflichen Interessen (gelegentlicher Besuch von Tante und Ex-Ehefrau in der Schweiz, Einschränkung in der Ausübung seiner beruflichen Tätigkeit als Lastwagenchauffeur) nicht ernsthaft in Frage stellen. Zum einen ist die Fernhaltemassnahme nicht als absolutes Einreiseverbot ausgestaltet. Sie stellt vielmehr ein Einreiseverbot mit Bewilligungsvorbehalt dar. Dem Beschwerdeführer bleibt es freigestellt, aus wichtigen Gründen mittels Gesuch die zeitweilige Suspension der angeordneten Fernhaltemassnahme zu beantragen (Art. 67 Abs. 5 AuG), wobei diese aber praxisgemäss nur für eine kurze und klar begrenzte Zeit gewährt wird (vgl. Urteil des BVGer C-1712/2011 vom 12. September 2012 E. 6.3 m.H.). Im Übrigen hat die Vorinstanz in ihrer Vernehmlassung vom 4. September 2015 explizit darauf hingewiesen, dass sämtliche Schengen-Mitgliedstaaten die Möglichkeit hätten, betroffenen Personen auf Gesuch hin die Einreise in das eigene Hoheitsgebiet zu gestatten bzw. ein Visum mit räumlich beschränkter Gültigkeit auszustellen. Die mit dem Einreiseverbot verbundenen Einschränkungen sind also in mehrfacher Hinsicht zu relativieren. Angesichts dessen vermögen die geltend gemachten privaten Interessen weder eine Aufhebung noch eine Reduktion der Dauer der Fernhaltemassnahme zu rechtfertigen.</w:t>
      </w:r>
    </w:p>
    <w:p>
      <w:r>
        <w:rPr>
          <w:b/>
        </w:rPr>
        <w:t>E. 5.4</w:t>
      </w:r>
    </w:p>
    <w:p>
      <w:r>
        <w:t>Aufgrund einer wertenden Gewichtung der sich entgegenstehenden Interessen gelangt das Bundesverwaltungsgericht zum Schluss, dass sich das auf zwei Jahre befristete Einreiseverbot unter Berücksichtigung der gängigen Praxis in vergleichbaren Fällen als verhältnismässig und angemessen erweist (vgl. etwa Urteil des BVGer C-1712/2011 vom 12. September 2012 E. 6.4 m.w.H.).</w:t>
      </w:r>
    </w:p>
    <w:p>
      <w:r>
        <w:rPr>
          <w:b/>
        </w:rPr>
        <w:t>E. 6</w:t>
      </w:r>
    </w:p>
    <w:p>
      <w:r>
        <w:t>Die Vorinstanz hat in der angefochtenen Verfügung ferner die Ausschreibung des Einreiseverbots im SIS II angeordnet. Der Beschwerdeführer ist nicht Bürger eines Mitgliedstaates der Europäischen Union. Aufgrund der Ausschreibung im SIS ist es ihm untersagt, den Schengen-Raum zu betreten. Der darin liegende Eingriff wird durch die Bedeutung des Falles gerechtfertigt (vgl. Art. 21 i.V.m. Art. 24 Abs. 2 SIS-II-VO). Zum einen ist aufgrund des Verhaltens des Betroffenen - wie oben ausgeführt - von einer nicht unbeachtlichen Gefährdung der öffentlichen Sicherheit und Ordnung auszugehen, zum andern hat die Schweiz die Interessen der Gesamtheit aller Schengen-Staaten zu wahren (vgl. BVGE 2011/48 E. 6.1). Wie unter E. 5.3 ausgeführt, bleibt es den Schengen-Staaten unbenommen, der ausgeschriebenen Person bei Vorliegen besonderer Gründe die Einreise ins eigene Hoheitsgebiet zu gestatten. Die Voraussetzungen für die Ausschreibung im SIS sind demnach ebenfalls erfüllt.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