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C-4391/2008 vom 2. November 2009</w:t>
      </w:r>
    </w:p>
    <w:p>
      <w:r>
        <w:t>Bundesverwaltungsgericht, 2009-11-02, IT</w:t>
      </w:r>
    </w:p>
    <w:p>
      <w:r>
        <w:rPr>
          <w:b/>
        </w:rPr>
        <w:t xml:space="preserve">Quelle: </w:t>
      </w:r>
      <w:r>
        <w:t>https://mcp.opencaselaw.ch/entscheid/bvger_C-4391_2008</w:t>
      </w:r>
    </w:p>
    <w:p>
      <w:r>
        <w:t>FR: TAF C-4391/2008 du 2 novembre 2009</w:t>
      </w:r>
    </w:p>
    <w:p>
      <w:r>
        <w:t>IT: TAF C-4391/2008 del 2 novembre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 e B._______ hanno il diritto di ricorrere (art. 48 cpv.1 PA) e il loro ricorso, presentato nella forma e nei termini prescritti dalla legge è ricevibile (art. 50 e 52 PA).</w:t>
      </w:r>
    </w:p>
    <w:p>
      <w:r>
        <w:rPr>
          <w:b/>
        </w:rPr>
        <w:t>E. 2</w:t>
      </w:r>
    </w:p>
    <w:p>
      <w:r>
        <w:t>Ai sensi dell'art. 49 PA i motivi di ricorso ammessi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Messaggio LStr, op. cit.;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L'applicazione dell'acquis di Schengen ha reso necessaria una revisione completa dell'ordinanza del 24 ottobre 2007 concernente la procedura d'entrata e di rilascio del visto (OPEV, RU 2007 5537), la quale è stata sostituita dall'ordinanza del 22 ottobre 2008 concernente l'entrata e il rilascio del visto (OEV, RS 142.204). Ai sensi dell'art. 57 OEV il nuovo diritto si applica alle procedure pendenti alla data dell'entrata in vigore dell'OEV.</w:t>
      </w:r>
    </w:p>
    <w:p>
      <w:r>
        <w:rPr>
          <w:b/>
        </w:rPr>
        <w:t>E. 5</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Le condizioni d'entrata previste dal codice frontiere Schengen corrispondono essenzialmente a quelle di cui all'art. 5 della legge federale del 16 dicembre 2005 sugli stranieri (LStr, RS 142.20). In concreto la pratica e la giurisprudenza relative a quest'ultima disposizione possono essere applicate (in merito ai dettagli di tale problematica, cfr. la sentenza del Tribunale amministrativo federale C-3015/2008 del 22 maggio 2009 consid. 4 e 5).</w:t>
      </w:r>
    </w:p>
    <w:p>
      <w:r>
        <w:rPr>
          <w:b/>
        </w:rPr>
        <w:t>E. 6</w:t>
      </w:r>
    </w:p>
    <w:p>
      <w:r>
        <w:t>L'art. 1 par. 1 e 2 del Regolamento n. 539/2001 del Consiglio del 15 marzo 2001 (GU L 81 del 21 marzo 2001, pag. 1-7) distingue tra i cittadini dei paesi terzi a dipendenza dell'obbligo del visto. Considerato che C._______ è cittadino dominicano, è sottomesso all'obbligo del visto.</w:t>
      </w:r>
    </w:p>
    <w:p>
      <w:r>
        <w:rPr>
          <w:b/>
        </w:rPr>
        <w:t>E. 7.1</w:t>
      </w:r>
    </w:p>
    <w:p>
      <w:r>
        <w:t>Al fine di valutare se l'uscita dallo spazio Schengen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del richiedente.</w:t>
      </w:r>
    </w:p>
    <w:p>
      <w:r>
        <w:rPr>
          <w:b/>
        </w:rPr>
        <w:t>E. 7.2</w:t>
      </w:r>
    </w:p>
    <w:p>
      <w:r>
        <w:t>A partire dall'agosto 2004, l'economia della Repubblica dominicana si è rapidamente ripresa, nonostante la difficile crisi causata dal tracollo finanziario delle tre più grandi banche d'affari avvenuto nel 2003. Infatti a partire dal 2005 la crescita economica - che nel 2006 si fissava al 10.7 % - risulta essere stabile mentre l'inflazione - pari al 5 % - è relativamente bassa. Ciò nonostante il tasso di disoccupazione corrispondeva nel 2006 al 16,2 % e in questi ultimi anni, a causa della crisi economica globale, la crescita economica tende a rallentare, ciò che si ripercuote sul tasso di disoccupazione (cfr. http://www.auswaertiges-amt.de &gt; Länder, Reisen und Sicherheit &gt; Alle Länder A-Z &gt; Dominikanische Republik, visitato il 15 ottobre 2009; cfr. anche sentenza del Tribunale amministrativo federale C-581/2008 del 27 marzo 2009 consid. 7.3). Anche se il Paese può definirsi stabile, la difficile situazione economica può portare a scioperi e a manifestazioni degeneranti in scontri con le forze dell'ordine e in conflitti violenti. Si constata inoltre un progressivo espandersi della criminalità che degrada talvolta nella violenza (cfr. http://www.eda.admin.ch/eda/it/home.html &gt; Consigli di viaggio &gt; Destinazioni di viaggio &gt; Consigli di viaggio per: Repubblica dominicana, visitato il 15 ottobre 2009). Come lo ha dimostrato l'esperienza, oltre alla situazione socioeconomica del Paese in questione, la pressione migratoria risulta essere elevata soprattutto in presenza di persone giovani che non hanno particolari legami familiari o professionali che li vincola al loro Paese d'origine. L'emigrazione è inoltre intensificata allorquando la persona interessata ha parenti o amici all'estero.</w:t>
      </w:r>
    </w:p>
    <w:p>
      <w:r>
        <w:rPr>
          <w:b/>
        </w:rPr>
        <w:t>E. 7.3</w:t>
      </w:r>
    </w:p>
    <w:p>
      <w:r>
        <w:t>Tenuto conto delle considerazioni relative alla situazione socioeconomica nella Repubblica dominicana e del fatto che la predisposizione a lasciare il proprio paese d'origine è favorita, allorquando parenti o conoscenti sono precedentemente emigrati, la valutazione dell'UFM inerente al rischio relativamente elevato del non rispetto dell'uscita dallo spazio Schengen entro i termini prestabiliti, non può essere contestata. Ciò nonostante trarre delle conclusioni basandosi unicamente sulla situazione generale del paese d'origine, porterebbe ad una valutazione dei fatti eccessivamente generalizzata. L'autorità deve per tanto esaminare il rischio migratorio sulla base dell'insieme delle circostanze del caso concreto, in particolare gli obblighi familiari, sociali o professionali possono costituire una prognosi favorevole per una partenza dalla Svizzera entro i termini stabiliti.</w:t>
      </w:r>
    </w:p>
    <w:p>
      <w:r>
        <w:rPr>
          <w:b/>
        </w:rPr>
        <w:t>E. 8.1</w:t>
      </w:r>
    </w:p>
    <w:p>
      <w:r>
        <w:t>Dalle risultanze agli atti, C._______ vive nella Repubblica dominicana, ha 34 anni, non è coniugato e non risulta che egli abbia figli a carico. Svolge l'attività di metalcostruttore e percepisce un salario di RD$ 10'000.00 che equivalgono all'incirca a Fr. 282.-. I ricorrenti hanno fatto valere che l'interessato è finanziariamente indipendente ed è ben integrato nel suo ambito lavorativo. Ora, la situazione professionale dell'interessato non è tuttavia tale da impedirgli di organizzarsi al fine di soggiornare sul territorio della Confederazione per un periodo più lungo di quanto stabilito, una volta entrato in Svizzera. Non vengono d'altronde documentati nella presente causa ulteriori obblighi di carattere famigliare nel proprio Paese atti ad ostacolare concretamente un'eventuale emigrazione. Al contrario, la circostanza che l'interessato possa lasciare il proprio impiego e recarsi all'estero per un periodo di due mesi (eventualmente di un mese), lascia presagire che egli non abbia legami particolari che lo obbligherebbero a far ritorno in Patria. Viste le disparità socioeconomiche tra i due Paesi e tenuto conto che l'interessato non ha stretti legami familiari né professionali, il Tribunale giunge alla conclusione che l'uscita entro i termini prestabiliti non è assicurata.</w:t>
      </w:r>
    </w:p>
    <w:p>
      <w:r>
        <w:rPr>
          <w:b/>
        </w:rPr>
        <w:t>E. 9</w:t>
      </w:r>
    </w:p>
    <w:p>
      <w:r>
        <w:t>Ne discende che l'autorità di prime cure ha rilevato a giusto titolo sulla base della situazione agli atti, che l'uscita dallo spazio Schengen entro i termini stabiliti dopo un soggiorno per visita non è sufficientemente garantita. Considerato l'insieme delle circostanze del caso, le dichiarazioni fornite dai ricorrenti in relazione alla presa a carico delle spese cagionate dal soggiorno auspicato nonché le assicurazioni secondo le quali l'interessato avrebbe lasciato la Svizzera allo spirare del visto, non sono tali da impedirgli, una volta sul territorio elvetico, di intraprendere i passi necessari per stabilirvisi durevolmente (cfr. sentenza del Tribunale federale 6S.281/2005 del 30 settembre 2005). L'esperienza ha infatti a più riprese dimostrato come le dichiarazioni d'intenzione formulate in merito all'uscita puntuale dalla Svizzera allo scadere del visto non vincolano il richiedente, così come le garanzie finanziarie fornite dall'ospitante, le quali costituiscono delle semplici dichiarazioni d'intenzione prive di effetti giuridici che, in mancanza di elementi concreti attestanti la volontà di uscire dal territorio elvetico, non sono sufficienti ad assicurare la partenza di un cittadino straniero entro i termini stabiliti.</w:t>
      </w:r>
    </w:p>
    <w:p>
      <w:r>
        <w:rPr>
          <w:b/>
        </w:rPr>
        <w:t>E. 10</w:t>
      </w:r>
    </w:p>
    <w:p>
      <w:r>
        <w:t>Ne discende che l'UFM con decisione del 30 maggio 2008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