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C-4388/2015 vom 7. Dezember 2015</w:t>
      </w:r>
    </w:p>
    <w:p>
      <w:r>
        <w:t>Bundesverwaltungsgericht, 2015-12-07, DE</w:t>
      </w:r>
    </w:p>
    <w:p>
      <w:r>
        <w:rPr>
          <w:b/>
        </w:rPr>
        <w:t xml:space="preserve">Quelle: </w:t>
      </w:r>
      <w:r>
        <w:t>https://mcp.opencaselaw.ch/entscheid/bvger_C-4388_2015</w:t>
      </w:r>
    </w:p>
    <w:p>
      <w:r>
        <w:t>FR: TAF C-4388/2015 du 7 décembre 2015</w:t>
      </w:r>
    </w:p>
    <w:p>
      <w:r>
        <w:t>IT: TAF C-4388/2015 del 7 dicembre 2015</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w:t>
      </w:r>
    </w:p>
    <w:p>
      <w:r>
        <w:t>Das SEM verfügt Einreiseverbote gegenüber weggewiesenen Ausländerinnen und Ausländern, wenn die Wegweisung sofort vollstreckt wird oder die betroffene Person der Ausreiseverpflichtung nicht innert Frist nachgekommen ist (Art. 67 Abs. 1 AuG). Das SEM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w:t>
      </w:r>
    </w:p>
    <w:p>
      <w:r>
        <w:rPr>
          <w:b/>
        </w:rPr>
        <w:t>E. 4.1</w:t>
      </w:r>
    </w:p>
    <w:p>
      <w:r>
        <w:t>Die Vorinstanz stützte das Einreiseverbot allgemein auf Art. 67 AuG und verwies zur Begründung auf die vom Beschwerdeführer begangenen Straftaten (vgl. Sachverhalt Bst. A). Die entsprechenden Verurteilungen sind rechtskräftig und unbestritten. Der Beschwerdeführer hat wiederholt und in erheblicher Weise gegen die öffentliche Sicherheit und Ordnung verstossen und damit unter dem Gesichtspunkt von Art. 67 Abs. 2 Bst. a AuG hinreichenden Anlass für die Verhängung einer Fernhaltemassnahme gegeben. Sein Einwand, er sei nicht zu einer längerfristigen Freiheitsstrafe verurteilt worden, ist unbehelflich. Insbesondere die Verurteilung zu einer Freiheitsstrafe von zehn Monaten, aber auch die weiteren begangen Delikte lassen darauf schliessen, dass von ihm eine erhebliche Gefahr für die öffentliche Sicherheit und Ordnung ausgeht (vgl. E. 5.2). Auch der Einwand, die Vorinstanz würde ihm eine Suspension gewähren und schätze folglich die von ihm ausgehende Gefahr selber als gering ein, geht fehl. Im Kontext der Suspension ist jeweils zu prüfen, ob wichtige - z.B. humanitäre - Gründe vorliegen, denen im Rahmen der vorzunehmenden Interessenabwägung höheres Gewicht beizumessen ist als dem öffentlichen Fernhalteinteresse. Ist dies der Fall, kann eine zeitlich klar begrenzte Einreise gestattet und hierfür (auch) vom Einreisekriterium abgewichen werden, wonach einreisewillige Drittstaatsangehörige keine Gefahr für die öffentliche Sicherheit darstellen dürfen (vgl. Urteil des BVGer C 3728/2015 vom 22. Oktober 2015 E. 3 und E. 4.2 m.H.). Die Vorinstanz hat mithin aus dem vom Beschwerdeführer in jüngster Vergangenheit gezeigten Verhalten zu Recht auf ein erhebliches Risiko weiterer Verstösse gegen die öffentliche Sicherheit und Ordnung geschlossen. Sodann ist hier auch generalpräventiven Überlegungen Rechnung zu tragen (vgl. E. 5.2).</w:t>
      </w:r>
    </w:p>
    <w:p>
      <w:r>
        <w:rPr>
          <w:b/>
        </w:rPr>
        <w:t>E. 4.2</w:t>
      </w:r>
    </w:p>
    <w:p>
      <w:r>
        <w:t>Der Vollständigkeit halber ist festzuhalten, dass sich der Beschwerdeführer, der zwar in Spanien aufenthaltsberechtigt, aber Staatsangehöriger von Gambia ist (vgl. SEM act. 5 S. 60), zu Recht nicht auf das Freizügigkeitsabkommen (FZA, SR 0.142.112.681) beruft.</w:t>
      </w:r>
    </w:p>
    <w:p>
      <w:r>
        <w:rPr>
          <w:b/>
        </w:rPr>
        <w:t>E. 5.1</w:t>
      </w:r>
    </w:p>
    <w:p>
      <w:r>
        <w:t>Gemäss Art. 67 Abs. 2 Bst. a AuG kann die Vorinstanz ein Einreiseverbot ge­gen ausländische Personen erlassen, die gegen die öffentliche Sicherheit und Ordnung verstossen haben oder diese gefährden. Es ist zu prüfen, ob die Massnahme in richtiger Ausübung des Ermessens ergangen und angemessen ist. Der Grundsatz der Verhältnismässigkeit steht dabei im Vordergrund. Es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Betroffenen bilden dabei den Ausgangspunkt der Überlegungen (vgl. BVGE 2014/20 E. 8.1 m.H.).</w:t>
      </w:r>
    </w:p>
    <w:p>
      <w:r>
        <w:rPr>
          <w:b/>
        </w:rPr>
        <w:t>E. 5.2</w:t>
      </w:r>
    </w:p>
    <w:p>
      <w:r>
        <w:t>Der Beschwerdeführer beging während seiner Anwesenheit in der Schweiz insbesondere mehrere Vergehen gegen das Betäubungsmittelgesetz, indem er mit Kokain handelte (Art. 19 Abs. 1 Bst. c BetmG), und wurde überdies wegen Gewaltdelikten verurteilt (vgl. Sachverhalt Bst. A). Die schwerwiegendsten Straftaten beging er am 2. Dezember 2013. Er begab sich abends zur Wohnung seiner damaligen Ehefrau, die bereits getrennt von ihm lebte, und polterte gegen die Balkontüre, bis die Ehefrau diese öffnete. Anschliessend stürmte er in die Wohnung, schlug einem anwesenden anderen Mann mehrmals mit der Faust ins Gesicht und verletzte ihn mit einem Dolch. Seiner damaligen Ehefrau schlug er mit der Hand gegen den Kopf und gegen die Rippen (vgl. SEM act. 2 S. 25). Diese in jüngerer Vergangenheit begangenen Handlungen lassen - namentlich in Kombination mit den ebenfalls nicht lange her liegenden Vorstrafen - darauf schliessen, dass er eine erhebliche Gefahr für die öffentliche Sicherheit und Ordnung darstellt. Die Vorinstanz war berechtigt, zur Abwendung künftiger Störungen der öffentlichen Sicherheit und Ordnung ein Einreiseverbot zu verhängen. Als gewichtig zu betrachten ist das generalpräventiv motivierte Interesse, die öffentliche Ordnung durch eine konsequente Massnahmenpraxis zu schützen. Die spezialpräventive Zielsetzung der Massnahme liegt darin, dass sie weitere Straftaten des Beschwerdeführers in der Schweiz verhindern soll. Angesichts der zu befürchtenden weiteren Drogen- und Gewaltdelikte bzw. der Gefährdung besonders hochrangiger Rechtsgüter gilt ein strenger Massstab (vgl. BGE 139 I 31 E. 2.3.2; BVGE 2014/20 E. 8.2 je m.H.). Nach dem Gesagten besteht ein ausgeprägtes öffentliches Interesse an der Fernhaltung des Beschwerdeführers.</w:t>
      </w:r>
    </w:p>
    <w:p>
      <w:r>
        <w:rPr>
          <w:b/>
        </w:rPr>
        <w:t>E. 5.3</w:t>
      </w:r>
    </w:p>
    <w:p>
      <w:r>
        <w:t>Dem öffentlichen Interesse sind die privaten Interessen des Beschwerdeführers gegenüber zu stellen. Der Beschwerdeführer macht geltend, das fünfjährige Einreiseverbot greife in unverhältnismässiger Weise in das Recht auf Familienleben ein (Art. 8 EMRK, Art. 13 Abs. 1 BV).</w:t>
      </w:r>
    </w:p>
    <w:p>
      <w:r>
        <w:rPr>
          <w:b/>
        </w:rPr>
        <w:t>E. 5.3.1</w:t>
      </w:r>
    </w:p>
    <w:p>
      <w:r>
        <w:t>In grundsätzlicher Hinsicht ist festzuhalten, dass allfällige Einschränkungen des Rechts auf Familienleben aufgrund sachlicher und funktioneller Unzuständigkeit des Bundesverwaltungsgerichts nicht Verfahrensgegenstand sind, soweit sie darauf zurückzuführen sind, dass der Beschwerdeführer in der Schweiz nicht mehr aufenthaltsberechtigt ist (vgl. Sachverhalt Bst. C und Bst. E; BVGE 2013/4 E. 7.4.1).</w:t>
      </w:r>
    </w:p>
    <w:p>
      <w:r>
        <w:rPr>
          <w:b/>
        </w:rPr>
        <w:t>E. 5.3.2</w:t>
      </w:r>
    </w:p>
    <w:p>
      <w:r>
        <w:t>Der Beschwerdeführer macht geltend, dass Einreiseverbot verhindere es ihm, seine schwangere Partnerin zu heiraten. Dies trifft nicht zu (vgl. Sachverhalt Bst. G). In der Zwischenverfügung vom 12. August 2015 wurde dargelegt, wie er hätte vorgehen müssen, um seine Partnerin in der Schweiz heiraten zu können. Er brachte diesbezüglich in der Folge nichts mehr vor (vgl. Sachverhalt Bst. I), weshalb davon auszugehen ist, dass er die ihm dargelegten Schritte nicht unternommen hat. Ungeachtet des entsprechenden Hinweises des Gerichts (vgl. Sachverhalt Bst. G) hat er sodann auch nicht substantiiert dargelegt, weshalb seiner Partnerin eine Heirat in Spanien nicht zumutbar sein sollte. Die Schwangerschaft (allenfalls ist das Kind zwischenzeitlich geboren, vgl. Beilage 4 zur Beschwerdeschrift) allein genügt für diese Annahme nicht. Flugreisen sind bei unkomplizierter Schwangerschaft bis vier Wochen vor dem Entbindungstermin möglich (vgl. www.swiss.com &gt; Vorbereiten &gt; Gesundheit und Reisen &gt; Schwangerschaft, besucht am 18. November 2015).</w:t>
      </w:r>
    </w:p>
    <w:p>
      <w:r>
        <w:rPr>
          <w:b/>
        </w:rPr>
        <w:t>E. 5.3.3</w:t>
      </w:r>
    </w:p>
    <w:p>
      <w:r>
        <w:t>Der Beschwerdeführer bringt vor, es sei aufwändig, jedes Mal ein Gesuch zu stellen, bevor eine Suspension verfügt werden könne. Er müsse spontan in die Schweiz einreisen können. Das Einreiseverbot sei ein grosses Ärgernis für ihn und seine Familie. Diese Einwände sind unbehelflich. Einreiseverbote sind präventiv-polizeiliche Massnahmen. Sie bezwecken, durch die Fernhaltung ausländischer Personen Gefahren für die öffentliche Sicherheit und Ordnung vorzubeugen. Einreisen sind nur ausnahmsweise und kontrolliert möglich (vgl. E. 4.1), «spontane» Einreisen werden verhindert. Das entspricht dem präventiven Zweck der Massnahme und ist von den mit einem Einreiseverbot belegten Personen grundsätzlich hinzunehmen. Dies gilt auch für den Beschwerdeführer, der die Unannehmlichkeiten, die mit dem Einreiseverbot einhergehen, seinen eigenen strafbaren Handlungen zuzuschreiben hat. Weshalb er unbedingt darauf angewiesen sein sollte, gleichsam jederzeit spontan in die Schweiz einreisen zu können, macht er wiederum nicht substantiiert geltend; die Schwangerschaft seiner Partnerin als Grund alleine reicht hierfür nicht. Der Beschwerdeführer weiss, was er tun müsste, sollte er tatsächlich eine Heirat anstreben (E. 5.3.2), und es bleibt ihm unbenommen, nach einer allfälligen Heirat ein Gesuch um Familiennachzug zu stellen, wobei dessen Erfolgsaussichten hier nicht zu prüfen sind (vgl. BVGE 2013/4 E. 7.4.1). Nachdem er bis anhin - davon ist jedenfalls auszugehen - nichts in diese Richtung unternommen hat, fallen die geltend gemachten privaten Interessen nicht ins Gewicht.</w:t>
      </w:r>
    </w:p>
    <w:p>
      <w:r>
        <w:rPr>
          <w:b/>
        </w:rPr>
        <w:t>E. 5.3.4</w:t>
      </w:r>
    </w:p>
    <w:p>
      <w:r>
        <w:t>Der Beschwerdeführer beruft sich zu Recht nicht auf eine enge persönliche Beziehung zu seinem mittlerweile vierjährigen Sohn aus früherer Ehe. Im März 2015 wurde ihm die elterliche Sorge über den Sohn entzogen (vgl. SEM act. 2 S. 44). Angesichts der gesamten Umstände und mangels entsprechender Ausführungen des Beschwerdeführers ist davon auszugehen, dass ihm kein Besuchsrecht eingeräumt wurde. Eine biologische Vaterschaft ohne weitere Elemente, die auf eine enge persönliche Beziehung hinweisen, fällt nicht in den Schutzbereich des Rechts auf Privat- und Familienleben gemäss Art. 8 EMRK (vgl. Meyer-Ladewig, EMRK-Handkommentar, 3. Aufl. 2011, Art. 8 N. 50 f. m.H.).</w:t>
      </w:r>
    </w:p>
    <w:p>
      <w:r>
        <w:rPr>
          <w:b/>
        </w:rPr>
        <w:t>E. 5.4</w:t>
      </w:r>
    </w:p>
    <w:p>
      <w:r>
        <w:t>Das ausgeprägte öffentliche Fernhalteinteresse spricht für eine mehrjährige Fernhaltung des Beschwerdeführers. Weil demgegenüber die geltend gemachten privaten Interessen nicht ins Gewicht fallen, war es korrekt und angemessen, dass die Vorinstanz das Einreiseverbot auf die Regelhöchstdauer von fünf Jahren festsetzte (Art. 67 Abs. 3 AuG).</w:t>
      </w:r>
    </w:p>
    <w:p>
      <w:r>
        <w:rPr>
          <w:b/>
        </w:rPr>
        <w:t>E. 6</w:t>
      </w:r>
    </w:p>
    <w:p>
      <w:r>
        <w:t>Das verhängte Einreiseverbot stellt nach dem Gesagten sowohl im Grundsatz als auch hinsichtlich der verfügten fünfjährigen Dauer eine verhältnismässige und angemessene Massnahme zum Schutz der öffentlichen Sicherheit und Ordnung dar. Im Übrigen ist die angefochtene Verfügung nicht zu beanstanden (Art. 49 VwVG).</w:t>
      </w:r>
    </w:p>
    <w:p>
      <w:r>
        <w:rPr>
          <w:b/>
        </w:rPr>
        <w:t>E. 7</w:t>
      </w:r>
    </w:p>
    <w:p>
      <w:r>
        <w:t>Aus diesen Erwägungen ergibt sich, dass die Beschwerde abzuweisen ist. Der unterliegende Beschwerdeführer wird entsprechend kostenpflichtig (Art. 63 Abs. 1 VwVG; Art. 1, Art. 2 und Art.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