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C-4386/2008 vom 7. September 2010</w:t>
      </w:r>
    </w:p>
    <w:p>
      <w:r>
        <w:t>Bundesverwaltungsgericht, 2010-09-07, FR</w:t>
      </w:r>
    </w:p>
    <w:p>
      <w:r>
        <w:rPr>
          <w:b/>
        </w:rPr>
        <w:t xml:space="preserve">Quelle: </w:t>
      </w:r>
      <w:r>
        <w:t>https://mcp.opencaselaw.ch/entscheid/bvger_C-4386_2008</w:t>
      </w:r>
    </w:p>
    <w:p>
      <w:r>
        <w:t>FR: TAF C-4386/2008 du 7 septembre 2010</w:t>
      </w:r>
    </w:p>
    <w:p>
      <w:r>
        <w:t>IT: TAF C-4386/2008 del 7 settembre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LTAF,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TAF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Déposé en temps utile et dans les formes requises par la loi (art. 60 LPGA et 52 PA), le recours est recevable.</w:t>
      </w:r>
    </w:p>
    <w:p>
      <w:r>
        <w:rPr>
          <w:b/>
        </w:rPr>
        <w:t>E. 3</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4.1</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4.2</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Toutefois, le droit à la rente s'étendant jusqu'au 31 décembre 2007 s'examine à la lumière des anciennes normes. Dans la mesure où les événements déterminants, plus particulièrement la chute accidentelle du 20 septembre 2006, ont eu lieu avant le 31 décembre 2007, les dispositions citées ci-après seront, sauf précision contraire, celles en vigueur jusqu'à cette date.</w:t>
      </w:r>
    </w:p>
    <w:p>
      <w:r>
        <w:rPr>
          <w:b/>
        </w:rPr>
        <w:t>E. 6</w:t>
      </w:r>
    </w:p>
    <w:p>
      <w:r>
        <w:t>Le recourant a présenté sa demande de rente le 31 octobre 2006.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31 octobre 2005 (12 mois avant le dépôt de la demande) ou si le droit à une rente était né entre cette date et le 13 mai 2008, date de la décision attaquée marquant la limite dans le temps du pouvoir d'examen de l'autorité de recours (ATF 130 V 445 consid. 1.2 et 1.2.1).</w:t>
      </w:r>
    </w:p>
    <w:p>
      <w:r>
        <w:rPr>
          <w:b/>
        </w:rPr>
        <w:t>E. 7.1</w:t>
      </w:r>
    </w:p>
    <w:p>
      <w:r>
        <w:t>Par décision du 13 mai 2008, X._______ s'est vu reconnaître une rente entière par l'OAIE. A l'appui de son recours, il conteste la date à partir de laquelle débute le versement de la rente, soit la question de la naissance du droit. X._______ prétend qu'il subit une incapacité depuis le 1er janvier 2004 (infra consid. 7.2). Subsidiairement, il requiert le paiement de prestations AI dès l'année 2006, plus précisément à partir d'octobre 2006, moment où il a déposé sa demande auprès de l'INSS (infra consid. 8).</w:t>
      </w:r>
    </w:p>
    <w:p>
      <w:r>
        <w:rPr>
          <w:b/>
        </w:rPr>
        <w:t>E. 7.2</w:t>
      </w:r>
    </w:p>
    <w:p>
      <w:r>
        <w:t>A titre liminaire, le Tribunal se doit de constater que l'incapacité alléguée par le recourant dès le 1er janvier 2004 ne ressort pas des documents figurant au dossier. L'intéressé n'explique nullement les raisons pour lesquelles il avance cette date comme étant celle du début d'une incapacité de gain. Aucune des pièces médicales versées en cours de procédure ne fait en outre référence à un éventuel accident ou à une maladie aux conséquences invalidantes avant l'accident du 20 septembre 2006. De plus, X._______ a lui-même exposé, dans un courrier du 14 janvier 2008 (pce 16), avoir travaillé durant neuf mois au cours de l'année 2004 au sein d'une entreprise établie à Barcelone, ce qui laisse à penser que sa capacité de travail à cette époque était pleine et entière. Partant, faute de reposer sur des moyens de preuve concrets, l'année 2004 ne saurait être retenue comme déterminante dans la présente affaire.</w:t>
      </w:r>
    </w:p>
    <w:p>
      <w:r>
        <w:rPr>
          <w:b/>
        </w:rPr>
        <w:t>E. 8.1</w:t>
      </w:r>
    </w:p>
    <w:p>
      <w:r>
        <w:t>Selon l'art. 29 al. 1 LAI, dans sa teneur en vigueur jusqu'au 31 décembre 2007, le droit à la rente au sens de l'art.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du 17 janvier 1961 sur l'assurance-invalidité [RAI, dans sa teneur en vigueur au 31 décembre 2007, RO 1976 2650]). Une atteinte originellement labile peut être considérée comme relativement stabilisée seulement lorsque son caractère a clairement évolué de manière que l'on puisse prévoir que pratiquement aucun changement notable n'interviendra dans un avenir prévisible (ATF 119 V 98 consid. 4a p. 102 et les références; Jurisprudence et pratique administrative des autorités d'exécution de l'AVS/AI [VSI] 1999 p. 81 consid. 1a).</w:t>
      </w:r>
    </w:p>
    <w:p>
      <w:r>
        <w:rPr>
          <w:b/>
        </w:rPr>
        <w:t>E. 8.2</w:t>
      </w:r>
    </w:p>
    <w:p>
      <w:r>
        <w:t>Par ailleurs, le Tribunal fédéral a rappelé que le critère déterminant pour délimiter la portée des deux variantes prévues à l'art. 29 al. 1 LAI est la stabilité non pas des effets économiques mais de l'atteinte à la santé. C'est pourquoi il n'est pas justifié de faire une exception en ce qui concerne certaines suites d'une maladie ou d'un accident comme la tétraplégie ou la paraplégie en admettant, dès le début, l'existence d'une atteinte irréversible à la santé. Cependant, il en va différemment de la question de savoir si, dans un cas d'espèce, le caractère labile de l'atteinte à la santé peut disparaître au cours du délai d'attente, justifiant dès lors l'application de la première variante de l'art. 29 al. 1 LAI en lieu et place de la seconde (arrêt du Tribunal fédéral I 288/02 du 16 mai 2003 consid. 2 et les références citées)</w:t>
      </w:r>
    </w:p>
    <w:p>
      <w:r>
        <w:rPr>
          <w:b/>
        </w:rPr>
        <w:t>E. 8.3</w:t>
      </w:r>
    </w:p>
    <w:p>
      <w:r>
        <w:t>En l'espèce, le recourant soutient implicitement que son incapacité de gain était suffisamment permanente au moment de l'accident du 20 septembre 2006 pour que l'art. 29 al. 1 let. a LAI lui soit applicable et que son droit à la rente naisse immédiatement. Conformément à la jurisprudence du Tribunal fédéral, un accident ayant entraîné une lésion médullaire et une tétraplégie garde un caractère originellement labile. Il n'en irait autrement que si l'atteinte à la santé était largement stabilisée et essentiellement irréversible, en ce sens que l'on ne doit s'attendre, selon toute vraisemblance, à une amélioration non plus qu'à une aggravation de l'état de santé de l'assuré (cf. art. 29 RAI, ATF 111 V 21 consid. 2 p.21s.). En l'occurrence, les pièces médicales du dossier démontrent que suite à son hospitalisation du 19 septembre 2006, le recourant a souffert d'une détérioration respiratoire qui a nécessité une trachéotomie le 23 septembre 2006. La canule respiratoire a toutefois pu être retirée le 10 octobre 2006. Une phase de réadaptation a alors débuté. Le 14 décembre 2006, le Dr D._______ de l'Hôpital universitaire de Santiago de Compostela notait que l'intéressé avait récupéré une légère mobilité (2/5) de ses membres inférieurs alors que la plégie des membres supérieurs restait totale. Il a préconisé son transfert vers un centre spécialisé. Le Dr B._______ a confirmé que la réhabilitation se poursuivait dans son unité de lésions médullaires, où X._______ était entré le 6 novembre 2006. Le 27 avril 2007, la Dresse G._______ de cette même unité s'est prononcée sur l'évolution de l'assuré au cours des derniers mois. Elle a exposé que le traitement suivi avait visé la rééducation à la marche afin d'améliorer sensiblement l'indépendance de X._______ dans les activités quotidiennes. Ce dernier était en mesure de marcher à l'aide de cannes. En revanche, bien que l'intéressé pût se nourrir seul, la mobilité de ses mains et de ses épaules était encore très réduite ce qui ne lui permettait pas d'être autonome. Un suivi en consultation externe était prévu. Dès lors, le Tribunal observe que les soins mis en oeuvre dans les mois qui ont suivi l'accident ont permis, même de manière limitée, une amélioration de l'état de santé de X._______, dans la mesure où les séquelles subies ont pu être atténuées par un traitement adapté. Aussi, la condition d'irréversibilité de l'atteinte n'apparaît pas réalisée. En outre, le recourant n'a pas établi que les progrès enregistrés au cours des sept premiers mois se seraient brusquement interrompus avant l'expiration du délai de carence d'une année prévue à l'art. 29 al. 1 let. b LAI.</w:t>
      </w:r>
    </w:p>
    <w:p>
      <w:r>
        <w:rPr>
          <w:b/>
        </w:rPr>
        <w:t>E. 8.4</w:t>
      </w:r>
    </w:p>
    <w:p>
      <w:r>
        <w:t>Au vu de ce qui précède, le Tribunal ne saurait retenir que le caractère labile des affections subies suite au traumatisme du 20 septembre 2006 a disparu avant le terme du délai d'attente d'un an de l'art. 29 al. 1 let. b LAI. C'est donc à juste titre que l'OAIE a retenu la date du 20 septembre 2007 comme étant celle de la naissance du droit à la rente et qu'il a versé ses prestations mensuelles à partir du 1er septembre 2007, conformément aux termes de l'art. 29 al. 2 LAI, qui prévoit que la rente est allouée dès le début du mois au cours duquel le droit à la rente à pris naissance. Partant, le recours du 13 juin 2008 est rejeté et la décision entreprise confirmée.</w:t>
      </w:r>
    </w:p>
    <w:p>
      <w:r>
        <w:rPr>
          <w:b/>
        </w:rPr>
        <w:t>E. 9.1</w:t>
      </w:r>
    </w:p>
    <w:p>
      <w:r>
        <w:t>Les frais de procédure, fixés à Fr. 300.--, sont mis à la charge du recourant (art. 63 al. 1 PA, applicable par renvoi de l'art. 37 LTAF). Ils sont compensés par l'avance de frais dont il s'est acquitté au cours de l'instruction.</w:t>
      </w:r>
    </w:p>
    <w:p>
      <w:r>
        <w:rPr>
          <w:b/>
        </w:rPr>
        <w:t>E. 9.2</w:t>
      </w:r>
    </w:p>
    <w:p>
      <w:r>
        <w:t>Il n'est pas alloué de dépens (art. 7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