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C-4385/2014 vom 12. Februar 2015</w:t>
      </w:r>
    </w:p>
    <w:p>
      <w:r>
        <w:t>Bundesverwaltungsgericht, 2015-02-12, IT</w:t>
      </w:r>
    </w:p>
    <w:p>
      <w:r>
        <w:rPr>
          <w:b/>
        </w:rPr>
        <w:t xml:space="preserve">Quelle: </w:t>
      </w:r>
      <w:r>
        <w:t>https://mcp.opencaselaw.ch/entscheid/bvger_C-4385_2014</w:t>
      </w:r>
    </w:p>
    <w:p>
      <w:r>
        <w:t>FR: TAF C-4385/2014 du 12 février 2015</w:t>
      </w:r>
    </w:p>
    <w:p>
      <w:r>
        <w:t>IT: TAF C-4385/2014 del 12 febbraio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16 dicembre 2013, al caso in esame si applicano di principio le disposizioni della 6a revisione della LAI (primo pacchetto) entrate in vigore il 1° gennaio 2012.</w:t>
      </w:r>
    </w:p>
    <w:p>
      <w:r>
        <w:rPr>
          <w:b/>
        </w:rPr>
        <w:t>E. 3.2</w:t>
      </w:r>
    </w:p>
    <w:p>
      <w:r>
        <w:t>Il ricorrente, come già menzionato, ha presentato la domanda di rendita il 16 dicembre 2013. In deroga all'art. 24 LPGA, l'art. 29 LAI prevede che il diritto alla rendita nasce al più presto dopo sei mesi dalla data in cui l'assicurato ha rivendicato il diritto alle prestazioni conformemente all'art. 29 cpv. 1 LPGA (riservate altresì le condizioni dell'art. 28 cpv. 1 LAI).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Giova rilevare che il ricorrente ha versato contributi all'AVS/AI svizzera per più di 17 anni (cfr. estratto del conto individuale della Cassa svizzera di compensazione; doc. 49) e, pertanto, adempie la condizione della durata minima di contribuzione riferita alle norme entrate in vigore il 1° gennaio 2012.</w:t>
      </w:r>
    </w:p>
    <w:p>
      <w:r>
        <w:rPr>
          <w:b/>
        </w:rPr>
        <w:t>E. 5</w:t>
      </w:r>
    </w:p>
    <w:p>
      <w:r>
        <w:t>Nel gravame, il ricorrente rimprovera all'autorità inferiore di non avere sufficientemente motivato la decisione impugnata.</w:t>
      </w:r>
    </w:p>
    <w:p>
      <w:r>
        <w:rPr>
          <w:b/>
        </w:rPr>
        <w:t>E. 5.1</w:t>
      </w:r>
    </w:p>
    <w:p>
      <w:r>
        <w:t>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C-6774/2007 del 21 dicembre 2009 consid. 4.1).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del ricorrente nel merito (DTF 118 Ia 17 consid. 1a, 117 Ia 7 consid. 1a e 115 Ia 10 consid. 2a).</w:t>
      </w:r>
    </w:p>
    <w:p>
      <w:r>
        <w:rPr>
          <w:b/>
        </w:rPr>
        <w:t>E. 5.2</w:t>
      </w:r>
    </w:p>
    <w:p>
      <w:r>
        <w:t>La censura appare fondata ove solo si rilevi che né nel progetto di decisione del 25 aprile 2014 né nella decisione del 21 luglio 2014 l'UAIE ha spiegato per quale ragione, malgrado le patologie di cui soffre il ricorrente - ossia l'artrite reumatoide ed in particolare "una marcata patologia osteoartrosica rachidea con netto deficit funzionale del distretto lombare" (cfr. consulenza tecnica del dott. C._______ del 2 maggio 2013) - l'ultima attività esercitata di macellaio in proprio, come pure ogni altra sostitutiva, sarebbe ancora esigibile e perché nella misura del 100%. Da questo profilo, non soccorrono l'autorità inferiore neppure le diverse prese di posizione del medico dell'UAIE, dott. B._______, il quale si limita nella sostanza a un generico rinvio alla perizia E 213, la quale però non risulta né dettagliata né effettuata da uno specialista in reumatologia e/o ortopedia, al contrario della menzionata consulenza tecnica del dott. C._______, di cui peraltro non è fatta menzione nella perizia E 213. Inoltre, non è dato pertanto sapere in virtù di quale documentazione medica oggettiva, rispettivamente di quali riflessioni di natura scientifica, il dott. B._______, medico generalista, sia giunto alla conclusione secondo la quale sussiste una capacità lavorativa del 100% in qualsivoglia attività, anche in quella abituale e pesante. Già per questo motivo la decisione impugnata incorre nell'annullamento.</w:t>
      </w:r>
    </w:p>
    <w:p>
      <w:r>
        <w:rPr>
          <w:b/>
        </w:rPr>
        <w:t>E. 6</w:t>
      </w:r>
    </w:p>
    <w:p>
      <w:r>
        <w:t>Ma vi è di più. L'autorità inferiore ha pure accertato i fatti determinanti in modo insufficiente.</w:t>
      </w:r>
    </w:p>
    <w:p>
      <w:r>
        <w:rPr>
          <w:b/>
        </w:rPr>
        <w:t>E. 6.1</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6.2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6.3</w:t>
      </w:r>
    </w:p>
    <w:p>
      <w:r>
        <w:t>Questo Tribunale rileva che il ricorrente soffre, per quanto emerge dagli atti di causa, oltre che di un'artrite reumatoide (di cui si dirà di seguito), di lombosciatalgia bilaterale con flesso-estensione del rachide limitata di 1/3 e grave difficoltà a mantenere la stazione eretta prolungata e nell'eseguire i normali atti della vita quotidiana di relazione (cfr. rapporto del 2 marzo 2012 del dott. E._______, specialista in ortopedia e traumatologia [doc. 15]) nonché di una marcata patologia osteoartrosica rachidea con netto deficit funzionale del distretto lombare (cfr. la più volte menzionata consulenza tecnica del 2 maggio 2013 del dott. C._______ [doc. 41]). Inoltre, il referto di risonanza magnetica del rachide del 27 febbraio 2014 (quindi posteriore alla perizia E 213) menziona delle alterazioni degenerative, segnatamente protrusioni erniarie tra D11-L1, L1-L2, L2-L3, L3-L4, L4-L5 e L5-S1 (doc. 33). Come già indicato (v. considerando 5 del presente giudizio), il medico dell'UAIE non ha indicato, tanto meno in modo preciso e convincente, per quale motivo le affezioni ortopediche non avrebbero alcuna incidenza sulla capacità lavorativa del ricorrente e ciò in contrasto con quanto ritenuto dai dott. E._______ e C._______. Come giustamente rilevato dal ricorrente, rapporti, consulenze e perizie di natura medica sono da valutare secondo i criteri legali e giurisprudenziali vigenti in Svizzera sia che siano redatti da specialisti svizzeri o di altro Paese. Ora, le valutazioni specialistiche dei dott. E._______ e C._______ sono più che sufficienti per far sorgere seri dubbi sulla valutazione effettuata dal medico generalista dell'UAIE sulla residua capacità lavorativa del ricorrente dal profilo ortopedico e per giustificare un completamento dell'istruttoria su questo punto.</w:t>
      </w:r>
    </w:p>
    <w:p>
      <w:r>
        <w:rPr>
          <w:b/>
        </w:rPr>
        <w:t>E. 6.4</w:t>
      </w:r>
    </w:p>
    <w:p>
      <w:r>
        <w:t>Per quanto attiene all'artrite reumatoide, che è curata con immunosoppressori e cortisone, il dott. C._______ ha certo indicato che al momento (2 maggio 2013) è ben controllata dalla terapia medica e che non comporta le tipiche alterazioni morfo-funzionali a carico delle mani e dei piedi. La situazione appariva tuttavia ancora ben diversa nel 2012 (cfr. rapporto del dott. F._______, specialista in reumatologia, del 24 febbraio 2012 [doc. 16]). Dal momento che il caso in esame va comunque rinviato all'autorità inferiore per completamento dell'istruttoria dal profilo ortopedico e ritenuto che alcuno specialista reumatologo ha di recente esaminato personalmente il ricorrente, appare pure opportuno che l'UAIE proceda ad un completamento dell'istruttoria dal profilo reumatologico.</w:t>
      </w:r>
    </w:p>
    <w:p>
      <w:r>
        <w:rPr>
          <w:b/>
        </w:rPr>
        <w:t>E. 7.1</w:t>
      </w:r>
    </w:p>
    <w:p>
      <w:r>
        <w:t>Quando il Tribunale amministrativo federale annulla una decisione, esso può sostituirsi all'autorità inferiore e giudicare direttamente nel merito o rinviare la causa, con istruzioni vincolanti, all'autorità inferiore per un nuovo giudizio (cfr. sentenza del TAF C-2183/2013 del 28 gennaio 2015 consid. 10.1).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7.2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 esame sullo stato di salute generale dell'insorgente (rapporto medico su modulo E 213) ed una perizia ortopedico-reumatologica (cfr., sulla possibilità di un rinvio all'autorità inferiore in siffatte circostanze, DTF 137 V 210 consid. 4.4.1.4), nonché ogni ulteriore esame che pure l'evoluzione nel tempo dello stato di salute del ricorrente dovesse ancora rendere necessario. Per il resto, e se del caso, l'UAIE dovrà pure effettuare un confronto dei redditi determinanti sulla base delle possibili attività sostitutive adeguate ritenute.</w:t>
      </w:r>
    </w:p>
    <w:p>
      <w:r>
        <w:rPr>
          <w:b/>
        </w:rPr>
        <w:t>E. 7.3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21 luglio 2014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 ricorrente la facoltà di ritirare il proprio gravame.</w:t>
      </w:r>
    </w:p>
    <w:p>
      <w:r>
        <w:rPr>
          <w:b/>
        </w:rPr>
        <w:t>E. 8.1</w:t>
      </w:r>
    </w:p>
    <w:p>
      <w:r>
        <w:t>Visto l'esito della causa, non sono prelevate delle spese processuali (art. 63 PA). L'anticipo equivalente alle presunte spese processuali di fr. 400.-, versato l'8 settembre 2014, sarà restituito al ricorrente allorquando la presente sentenza sarà cresciuta in giudicato.</w:t>
      </w:r>
    </w:p>
    <w:p>
      <w:r>
        <w:rPr>
          <w:b/>
        </w:rPr>
        <w:t>E. 8.2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complessivamente in fr. 2'000.-,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