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C-4383/2014 vom 24. März 2015</w:t>
      </w:r>
    </w:p>
    <w:p>
      <w:r>
        <w:t>Bundesverwaltungsgericht, 2015-03-24, FR</w:t>
      </w:r>
    </w:p>
    <w:p>
      <w:r>
        <w:rPr>
          <w:b/>
        </w:rPr>
        <w:t xml:space="preserve">Quelle: </w:t>
      </w:r>
      <w:r>
        <w:t>https://mcp.opencaselaw.ch/entscheid/bvger_C-4383_2014</w:t>
      </w:r>
    </w:p>
    <w:p>
      <w:r>
        <w:t>FR: TAF C-4383/2014 du 24 mars 2015</w:t>
      </w:r>
    </w:p>
    <w:p>
      <w:r>
        <w:t>IT: TAF C-4383/2014 del 24 marzo 2015</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prononcées par l'autorité intimée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ressortissants indiens, B._______ et C._______ sont soumis à l'obligation du visa.</w:t>
      </w:r>
    </w:p>
    <w:p>
      <w:r>
        <w:rPr>
          <w:b/>
        </w:rPr>
        <w:t>E. 5.1</w:t>
      </w:r>
    </w:p>
    <w:p>
      <w:r>
        <w:t>Dans la décision querellée, le SEM a refusé d'autoriser l'entrée des prénommés au motif que leur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Tribunal administratif fédéral C-5114/2011 du 24 août 2012 consid. 6).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In casu, le Tribunal ne saurait d'emblée écarter les craintes émises par l'autorité intimée, notamment au vu de la situation qui prévaut en Inde sur le plan social et économique. A ce sujet, doivent être prises en considération la qualité de vie et les conditions économiques et sociales que connaît l'ensemble de la population en Inde. S'agissant de la situation économique de ce pays, il convient de souligner qu'avec un revenu national brut (RNB) par habitant (anciennement le PNB par habitant, soit le RNB converti en dollars américains au moyen de la méthode Atlas de la Banque mondiale, divisé par la population en milieu d'année) de $ 1'570 en 2013, elle demeure nettement en dessous des standards européens (cf. site internet de la banque mondiale : http://donnees.banquemondiale.org/indicateur/NY.GNP.PCAP.CD consulté en mars 2015). Pour l'année 2014, l'indice de développement humain (IDH), qui prend notamment en compte la santé, l'éducation et le revenu des personnes, classe l'Inde en 135ème position sur 187 pays, et la Suisse en 3ème position (cf. site internet du Programme des Nations Unis pour le développement [PNUD] : http://www.hdr.undp.org/fr/countries, Inde et http://www.hdr.undp.org/fr/countries, Suisse, les deux consultés en mars 2015). Ces conditions de vie moins 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les intéressés et le recourant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Tribunal administratif fédéral C-2942/2013 du 17 février 2014 consid. 5.2 et réf. citée).</w:t>
      </w:r>
    </w:p>
    <w:p>
      <w:r>
        <w:rPr>
          <w:b/>
        </w:rPr>
        <w:t>E. 5.4</w:t>
      </w:r>
    </w:p>
    <w:p>
      <w:r>
        <w:t>Il convient dès lors d'examiner si, en l'état, la situation personnelle, fa­miliale et patrimoniale de B._______ et C._______ plaide en faveur de leur sortie ponctuelle de Suisse, respectivement de l'Espace Schengen, à l'expira­tion de leur visa, compte tenu par ailleurs du but du séjour qu'ils envi­sagent d'effectuer en Suisse.</w:t>
      </w:r>
    </w:p>
    <w:p>
      <w:r>
        <w:rPr>
          <w:b/>
        </w:rPr>
        <w:t>E. 5.4.1</w:t>
      </w:r>
    </w:p>
    <w:p>
      <w:r>
        <w:t>En l'occurrence, il ressort des renseignements figurant dans le formulaire de demande de visa ainsi que des indications complémentaires fournies au cours de la procédure que les intéressés, originaires du district de Hoshiarpur, dans la partie nord-est de l'Etat indien du Pendjab, sont relativement âgés (respectivement dans leur 75e et 78e année), que B._______ tire un revenu de ses terres agricoles (estimé à 2,10,000 roupies annuels [soit environ 3'364.-]) et que son épouse est femme au foyer. Selon le recourant, ils sont parents de six enfants, à savoir trois filles, toutes restées en Inde et trois fils, établis respectivement au Royaume-Uni, en Italie et en Suisse. Selon les documents les plus récents produits en copie au dossier (cf. copies en annexe au courrier du 6 novembre 2014; évaluation des biens mobiliers et immobiliers au 27 juillet 2014), ils sont propriétaires de deux biens immobiliers (respectivement estimés à 31,04,100 roupies [soit environ 48'458.-], et à 18,12,500 roupies [soit environ 28'295.-]) ainsi que de terrains agricoles (respectivement estimés à 20,68,300 roupies [soit environ 32'288.-], et à 2,64,90,600 roupies [soit environ 413'248.-]). Le montant total de leurs biens immobiliers s'élève ainsi à 3,34,75,500 roupies (soit environ 522'590.-). Par ailleurs, selon ces documents, leur fortune monétaire s'élèverait à 6,40,466 roupies (soit environ 9'998.-). En vue de leur départ pour l'Europe, ils avaient changé chacun l'équivalent de 500 euros et conclu une assurance maladie pour la durée de leur séjour en Europe. Ces éléments laissent à supposer que les intéressés appartiennent à une classe sociale aisée en Inde et qu'ils y occupent une position qu'ils ne retrouveraient certainement pas en Europe.</w:t>
      </w:r>
    </w:p>
    <w:p>
      <w:r>
        <w:rPr>
          <w:b/>
        </w:rPr>
        <w:t>E. 5.4.2</w:t>
      </w:r>
    </w:p>
    <w:p>
      <w:r>
        <w:t>A l'appui de leur requête, les intéressés ont déclaré vouloir rendre visite à leur fils en Suisse, passer du temps avec lui et visiter la Suisse, raison pour laquelle ils ont sollicité un visa de 90 jours. Ils ont encore indiqué qu'ils étaient en possession d'un visa délivré par le Royaume-Uni. Ainsi que cela ressort des copies des passeports au dossier, le Royaume-Uni a délivré aux intéressés un visa de type C, à entrées multiples, valable du 29 mai 2013 au 29 mai 2018 pour une période totale de 180 jours. Il apparaît également que les intéressés ont déjà bénéficié d'un visa du Royaume-Uni, en 2010, valable du 14 mai 2010 au 14 novembre 2010, également à entrées multiples et pour une période totale de 180 jours tout comme d'un visa Schengen, valable du 15 juin 2010 au 14 octobre 2010, à entrées multiples pour une période totale de 90 jours. Or, il ne ressort pas du dossier qu'ils n'auraient pas respecté les conditions liées à la délivrance de ces précédents visas, en particulier en dépassant la durée limite ou encore en sollicitant le système, social notamment, respectivement de l'Espace Schengen ou du Royaume-Uni.</w:t>
      </w:r>
    </w:p>
    <w:p>
      <w:r>
        <w:rPr>
          <w:b/>
        </w:rPr>
        <w:t>E. 5.4.3</w:t>
      </w:r>
    </w:p>
    <w:p>
      <w:r>
        <w:t>Par ailleurs, le recourant assure que ses parents n'ont aucune intention de s'établir en Suisse, son père assumant de surcroît la fonction de vice-président d'une société coopérative agricole en Inde (cf. mémoire de réplique et attestation déposée à titre de moyen de preuve). Même si ces allégations ne sont pas décisives et ne garantissent pas un retour de ceux-ci en Inde à l'issue des visas sollicités, elles ne sauraient être écartées sans autres dans le contexte des liens économiques importants avec le pays d'origine, tels qu'évoqués ci-dessus. De plus, le recourant a promis leur prise en charge financière complète pendant la durée de leur séjour (cf. lettre du recourant du 15 avril 2014 ; mémoire de réplique du 6 novembre 2014).</w:t>
      </w:r>
    </w:p>
    <w:p>
      <w:r>
        <w:rPr>
          <w:b/>
        </w:rPr>
        <w:t>E. 5.4.4</w:t>
      </w:r>
    </w:p>
    <w:p>
      <w:r>
        <w:t>Il est vrai que les intéressés présentent un profil à risque en raison de leur âge et qu'une altération rapide de leur état de santé ne saurait être exclue. Cela étant, il existe au dossier suffisamment d'éléments tendant à penser qu'une éventuelle prise en charge médicale, non prévisible en l'état, pourrait être entièrement assumée par les intéressés et le recourant. Force est d'admettre, dans les circonstances du cas d'espèce, que le risque que les intéressés choisissent de s'exiler dans un environnement qui leur est inconnu, alors que leurs principales attaches sont en Inde, apparaît faible (en ce sens également l'arrêt du Tribunal administratif fédéral C-548/2013 du 4 février 2014).</w:t>
      </w:r>
    </w:p>
    <w:p>
      <w:r>
        <w:rPr>
          <w:b/>
        </w:rPr>
        <w:t>E. 5.5</w:t>
      </w:r>
    </w:p>
    <w:p>
      <w:r>
        <w:t>En définitive, le Tribunal estime qu'il n'y a pas lieu de mettre en doute la bonne foi des intéressés lorsqu'ils déclarent vouloir respecter les termes du visa. S'il peut comprendre les craintes de l'autorité inférieure, celles-ci ne sauraient justifier un refus d'autorisation d'entrée.</w:t>
      </w:r>
    </w:p>
    <w:p>
      <w:r>
        <w:rPr>
          <w:b/>
        </w:rPr>
        <w:t>E. 6</w:t>
      </w:r>
    </w:p>
    <w:p>
      <w:r>
        <w:t>En conséquence, compte tenu des éléments qui précèdent, le Tribunal est amené à considérer que le retour de B._______ et C._______ en Inde à l'échéance du visa requis peut être tenu, avec un haut degré de probabilité, pour garanti. Tout bien considéré, il serait inopportun de refuser l'autorisation d'entrée sollicitée, l'intérêt privé des intéressés à pouvoir rendre visite à leur fils et à sa famille dans le canton de Vaud, durant 90 jours, prévalant sur l'intérêt public contraire à refuser le visa sollicité au vu des garanties apportées quant à la sortie de l'Espace Schengen dans le délai fixé.</w:t>
      </w:r>
    </w:p>
    <w:p>
      <w:r>
        <w:rPr>
          <w:b/>
        </w:rPr>
        <w:t>E. 7</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8</w:t>
      </w:r>
    </w:p>
    <w:p>
      <w:r>
        <w:t>Le recours est en conséquence admis, la décision attaquée annulée et la cause renvoyée pour nouvel examen à l'autorité inférieure, laquelle est invitée à autoriser l'entrée en Suisse de B._______ et C._______ dans le but d'accomplir une visite d'ordre familial de 90 jours, après avoir déterminé si les prénommés remplissent les conditions d'entrée posées par le code frontières Schengen ou s'il convient, le cas échéant, de leur octroyer un visa à validité territoriale limitée en application de l'art. 2 al. 4 OEV.</w:t>
      </w:r>
    </w:p>
    <w:p>
      <w:r>
        <w:rPr>
          <w:b/>
        </w:rPr>
        <w:t>E. 9.1</w:t>
      </w:r>
    </w:p>
    <w:p>
      <w:r>
        <w:t>Le recourant obtenant gain de cause, il n'y a pas lieu de mettre des frais à sa charge (cf. art. 63 al. 1 a contrario et al. 3 PA). Bien qu'elle succombe, l'autorité inférieure n'a pas à supporter de frais de procédure (art. 63 al. 2 PA).</w:t>
      </w:r>
    </w:p>
    <w:p>
      <w:r>
        <w:rPr>
          <w:b/>
        </w:rPr>
        <w:t>E. 9.2</w:t>
      </w:r>
    </w:p>
    <w:p>
      <w:r>
        <w:t>Il ne se justifie par ailleurs pas d'allouer des dépens au recourant. En effet, celui-ci n'a pas fait appel à un mandataire professionnel, de sorte que ses frais dans la présente procédure peuvent être considérés comme étant relativement peu élevés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