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C-437/2011 vom 18. November 2011</w:t>
      </w:r>
    </w:p>
    <w:p>
      <w:r>
        <w:t>Bundesverwaltungsgericht, 2011-11-18, FR</w:t>
      </w:r>
    </w:p>
    <w:p>
      <w:r>
        <w:rPr>
          <w:b/>
        </w:rPr>
        <w:t xml:space="preserve">Quelle: </w:t>
      </w:r>
      <w:r>
        <w:t>https://mcp.opencaselaw.ch/entscheid/bvger_C-437_2011</w:t>
      </w:r>
    </w:p>
    <w:p>
      <w:r>
        <w:t>FR: TAF C-437/2011 du 18 novembre 2011</w:t>
      </w:r>
    </w:p>
    <w:p>
      <w:r>
        <w:t>IT: TAF C-437/2011 del 18 novembre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Les intéressés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4.2.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4.3.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4.4.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de la République démocratique du Congo, C._______ est soumise à l'obligation du visa. 6.1. Dans la décision querellée, l'ODM a refusé d'autoriser l'entrée en Suisse de la prénommée au motif que son départ à l'échéance du visa sollicité n'apparaissait pas suffisamment assuré. 6.2.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afin d'évaluer le comportement de l'étranger une fois arrivé en Suisse. 6.3. En l'occurrence, il faut prendre en considération la qualité de vie et les conditions économiques et sociales difficiles que connaît l'ensemble de la population de la République démocratique du Congo, pays dont le produit intérieur brut (PIB) par habitant était de USD 180 en 2010 et dont les indicateurs macro-économiques s'étaient détériorés en 2009 en raison de l'impact de la crise financière internationale sur le prix des matières premières, la situation s'étant toutefois améliorée en 2010. Par ailleurs, sur le plan politique, malgré une relative stabilisation liée à la reprise officielle des relations entre la République démocratique du Congo et ses pays voisins à l'Est, il appert que la situation sécuritaire demeure préoccupante (source : site internet du Ministère français des affaires étrangères www.diplomatie.gouv.fr &gt; Pays-zones géo &gt; République démocratique du Congo &gt; Présentation de la République démocratique du Congo ; consulté fin octobre 2011). Dès lors, les conditions économiques difficiles et l'instabilité sécuritaire prévalant en RDC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6.4. Ainsi, on ne saurait d'emblée écarter les craintes émises par l'ODM que l'intéressée ne cherche à prolonger son séjour en Suisse au-delà de la validité du visa sollicité.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p. 345).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6.5. Il ressort du dossier que C._______ a deux autres enfants qui vivent à Kinshasa, où ils bénéficient d'une bonne situation professionnelle. Même si ces attaches familiales peuvent, dans une certaine mesure, l'inciter à retourner dans sa patrie au terme du séjour envisagé en Suisse, elles ne sauraient toutefois suffire, à elles seules, à garantir son retour, au vu du contexte socioéconomique et politique dans lequel se trouve la République démocratique du Congo ainsi que de la présence de la fille de l'intéressée en Suisse. En tant que femme au foyer ayant atteint l'âge de la retraite, elle n'a pas non plus d'attaches professionnelles susceptibles de l'inciter à regagner son pays d'origine au terme de son séjour. Elle serait ainsi parfaitement à même de se créer une nouvelle existence hors de sa patrie, sans que cela n'entraîne pour elle des difficultés majeures sur le plan personnel ou familial. Par ailleurs, A._______ et B._______ ont fait valoir que l'invitée vivait aisément grâce aux revenus de l'épicerie dont elle était propriétaire. Il faut toutefois constater que les recourants ont également déclaré qu'ils soutenaient l'invitée financièrement depuis le décès de son mari, il y a une dizaine d'années, de sorte qu'on ne peut pas conclure qu'elle bénéficie elle-même de conditions économiques aisées qui seraient susceptibles de garantir sa sortie de l'Espace Schengen. Ainsi, sans vouloir minimiser l'importance des motifs d'ordre familial à la base de la demande de visa de C._______, le Tribunal ne saurait admettre, au vu de l'ensemble des éléments du dossier, que la sortie de l'intéressée du territoire Schengen au terme du séjour envisagé soit suffisamment garantie. 6.6. Par ailleurs, les recourants n'ont pas invoqué de raisons susceptibles de justifier la délivrance d'un visa à validité territoriale limitée en faveur de l'invitée (cf. consid. 4.4 supra). De tels motifs ne ressortent du reste pas du dossier.</w:t>
      </w:r>
    </w:p>
    <w:p>
      <w:r>
        <w:rPr>
          <w:b/>
        </w:rPr>
        <w:t>E. 7</w:t>
      </w:r>
    </w:p>
    <w:p>
      <w:r>
        <w:t>Cela étant, le désir exprimé par l'intéressée, au demeurant parfaitement compréhensible, de venir en Suisse rendre visite à sa famille ne constitue pas, à lui seul, un motif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8</w:t>
      </w:r>
    </w:p>
    <w:p>
      <w:r>
        <w:t>Il sied encore de relever que le refus d'une autorisation d'entrée ne remet nullement en cause la bonne foi ou l'honnêteté de la personne résidant en Suisse qui a invité un parent domicilié à l'étranger pour un séjour touristique et s'est engagée à garantir les frais y relatifs et le départ de son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à cet égard, ATAF 2009/27 consid. 9 p. 347 et arrêt du Tribunal fédéral 6S.281/2005 du 30 septembre 2005 let. A des faits).</w:t>
      </w:r>
    </w:p>
    <w:p>
      <w:r>
        <w:rPr>
          <w:b/>
        </w:rPr>
        <w:t>E. 9</w:t>
      </w:r>
    </w:p>
    <w:p>
      <w:r>
        <w:t>Par surabondance, il convient encore de relever qu'un refus d'autorisation d'entrée dans l'Espace Schengen prononcé par les autorités helvétiques n'a pas en l'occurrence pour conséquence d'empêcher les intéressés de se voir, ceux-ci pouvant tout aussi bien se rencontrer hors de l'Espace Schengen, malgré les inconvénients d'ordre pratique ou de convenance personnelle que cela pourrait engendrer.</w:t>
      </w:r>
    </w:p>
    <w:p>
      <w:r>
        <w:rPr>
          <w:b/>
        </w:rPr>
        <w:t>E. 10</w:t>
      </w:r>
    </w:p>
    <w:p>
      <w:r>
        <w:t>Dans leur mémoire, les intéressés invoquent qu'en tant que citoyens suisses, ils bénéficient d'un droit à faire venir leurs parents et que le refus de délivrer le visa sollicité est discriminatoire. A cet égard, il faut rappeler que la législation sur les étrangers ne garantit aucun droit quant à l'octroi d'un visa (cf. consid. 3 supra) et que les autorités helvétiques doivent examiner, en fonction des circonstances particulières de chaque requête, le risque que la personne bénéficiant d'un visa d'entrée ne quitte pas la Suisse, voire l'Espace Schengen au terme de son séjour. On ne saurait donc reprocher à l'autorité de prendre une décision contraire à la loi lorsqu'elle se base sur l'évaluation précitée, en tenant compte, d'une part, de la situation politique, sociale et économique prévalant dans le pays de provenance de cette personne et, d'autre part, de sa situation personnelle, familiale et professionnelle. De même, lorsqu'ils statuent en tenant compte de l'ensemble de ces circonstances, l'ODM et le Tribunal établissent des distinctions qui se justifient pleinement, de sorte qu'on ne saurait y voir une violation de l'interdiction de la discrimination (sur la notion de discrimination, cf. ATF 135 I 49 consid. 4 p. 53ss et la jurisprudence citée). Le grief des recourants doit par conséquent être rejeté.</w:t>
      </w:r>
    </w:p>
    <w:p>
      <w:r>
        <w:rPr>
          <w:b/>
        </w:rPr>
        <w:t>E. 11</w:t>
      </w:r>
    </w:p>
    <w:p>
      <w:r>
        <w:t>Compte tenu de ce qui précède, il appert que, par sa décision du 24 janvier 2011, l'ODM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d'un montant de Fr. 700.-, à la charge des recourants,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