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C-4379/2012 vom 22. Januar 2014</w:t>
      </w:r>
    </w:p>
    <w:p>
      <w:r>
        <w:t>Bundesverwaltungsgericht, 2014-01-22, DE</w:t>
      </w:r>
    </w:p>
    <w:p>
      <w:r>
        <w:rPr>
          <w:b/>
        </w:rPr>
        <w:t xml:space="preserve">Quelle: </w:t>
      </w:r>
      <w:r>
        <w:t>https://mcp.opencaselaw.ch/entscheid/bvger_C-4379_2012</w:t>
      </w:r>
    </w:p>
    <w:p>
      <w:r>
        <w:t>FR: TAF C-4379/2012 du 22 janvier 2014</w:t>
      </w:r>
    </w:p>
    <w:p>
      <w:r>
        <w:t>IT: TAF C-4379/2012 del 22 gennaio 2014</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Bst. h VGG in Verbindung mit Art. 60 Abs. 2bis des Bundesgesetzes vom 25. Juni 1982 über die berufliche Alters-, Hinterlassenen- und Invalidenvorsorge [BVG, SR 831.40]). Eine Ausnahme bezüglich des Sachgebietes ist vorliegend nicht gegeben (Art. 32 VGG).</w:t>
      </w:r>
    </w:p>
    <w:p>
      <w:r>
        <w:rPr>
          <w:b/>
        </w:rPr>
        <w:t>E. 1.2</w:t>
      </w:r>
    </w:p>
    <w:p>
      <w:r>
        <w:t>Anfechtungsgegenstand des vorliegenden Verfahrens bildet der Ver­waltungsakt der Auffangeinrichtung vom 24. Juli 2012 (act. 53), welcher eine Verfügung im Sinne von Art. 5 Abs. 1 VwVG darstellt und mit welchem die Vorinstanz - zufolge eines Leistungsfalles - die Umwandlung des freiwilligen Anschlusses in einen Zwangsanschluss gemäss Art. 12 BVG verfügt hatte. Dagegen hat die Beschwerdeführerin am 23. August 2012 (B-act. 1) fristgerecht (Art. 50 in Verbindung mit Art. 22a Abs. 1 Bst. b VwVG) und formgerecht (52 VwVG) Beschwerde erhoben. Als Adressatin ist sie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auf die Beschwerde einzutreten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1.4.1</w:t>
      </w:r>
    </w:p>
    <w:p>
      <w:r>
        <w:t>Im Rahmen ihrer Vernehmlassung vom 31. Oktober 2012 (B-act. 6) beantragte die Vorinstanz, die Beschwerde sei als gegenstandslos geworden vom Protokoll abzuschreiben, da Ziff. 2 des Dispositivs der angefochtenen Verfügung vom 24. Juli 2012 in Bezug auf die Höhe des Zuschlags (Fr. 5'317.60) aufgehoben werde. In ihrer Replik vom 10. Dezember 2012 liess die Beschwerdeführerin diesbezüglich ausführen, Ziff. 2 des Dispositivs der angefochtenen Verfügung stehe offenbar bezüglich der Höhe des Zuschlags nicht mehr zur Diskussion (B-act. 10).</w:t>
      </w:r>
    </w:p>
    <w:p>
      <w:r>
        <w:rPr>
          <w:b/>
        </w:rPr>
        <w:t>E. 1.4.2</w:t>
      </w:r>
    </w:p>
    <w:p>
      <w:r>
        <w:t>Mit Blick auf die Vernehmlassung vom 31. Oktober 2012 ist festzuhalten, dass aufgrund der Devolutivwirkung die Herrschaft über den Streitgegenstand an die Beschwerdeinstanz übergeht; zugleich verliert die Vorinstanz - unter Vorbehalt von Art. 58 VwVG - die Befugnis, sich mit der Sache zu befassen (Bernhard Waldmann/Philippe Weissenberger, Praxiskommentar zum Bundesgesetz über das Verwaltungsverfahren, Zürich/Basel/Genf, 2009, Rz. 3 zu Art. 54 VwVG). Zwar kann die Vorinstanz bis zu ihrer Vernehmlassung die angefochtene Verfügung in Wiedererwägung ziehen (Art. 58 Abs. 1 VwVG) und lässt die Praxis den Erlass einer Wiedererwägungsverfügung in der Regel auch nach Eingabe der Vernehmlassung noch zu (Bernhard Waldmann/Philippe Weissenberger, a.a.O., Rz 3 zu Art. 58 VwVG). Da das Bundesverwaltungsgericht jedoch keine Kenntnis der neuen (Widerrufs-)Verfügung der Vorinstanz hat, welche ohne Ziff. 2 des Dispositivs der angefochtenen Verfügung vom 24. Juli 2012 ausgestaltet ist, sind - mit Blick auf die von der Vorinstanz beantragte teilweise Gegenstandslosigkeit und die diesbezügliche Stellungnahme der Beschwerdeführerin - die entsprechenden Ausführungen im vorliegenden Beschwerdeverfahren als Antrag auf teilweise Gutheissung der Beschwerde entgegenzunehmen.</w:t>
      </w:r>
    </w:p>
    <w:p>
      <w:r>
        <w:rPr>
          <w:b/>
        </w:rPr>
        <w:t>E. 1.4.3</w:t>
      </w:r>
    </w:p>
    <w:p>
      <w:r>
        <w:t>Da sich das Bundesverwaltungsgericht der diesbezüglichen Auffassung der Parteien aufgrund der Rechts- und Sachlage anschliessen kann, ist die Beschwerde vom 23. August 2012 demnach insofern gutzuheissen, als dass die angefochtene Verfügung vom 24. Juli 2012 betreffend die in Ziff. 2 des Dispositivs erwähnte Höhe des Zuschlags aufzuheben ist.</w:t>
      </w:r>
    </w:p>
    <w:p>
      <w:r>
        <w:rPr>
          <w:b/>
        </w:rPr>
        <w:t>E. 1.4.4</w:t>
      </w:r>
    </w:p>
    <w:p>
      <w:r>
        <w:t>Aufgrund der vorstehenden Erwägungen ist nunmehr streitig und zu prüfen, ob die Vorinstanz zu Recht einen Zwangsanschluss vorgenommen resp. ob die Beschwerdeführerin die ihr auferlegten Kosten von insgesamt Fr. 1'200.- (für die Verfügung: Fr. 450.-; für die Durchführung des Leistungsfalls: Fr. 750.-) zu tragen hat (Ziff. 2 des Dispositivs ohne den ebenfalls in dieser Ziff. verfügten Zuschlag [vgl. E. 1.4.1 bis 1.4.3 hiervor]).</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 Arbeitnehmer und selbstständig Erwerbende, die der obligatorischen Versicherung nicht unterstellt sind, können sich freiwillig versichern lassen (Art. 4 Abs. 1 BVG).</w:t>
      </w:r>
    </w:p>
    <w:p>
      <w:r>
        <w:rPr>
          <w:b/>
        </w:rPr>
        <w:t>E. 2.2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2.3</w:t>
      </w:r>
    </w:p>
    <w:p>
      <w:r>
        <w:t>Gemäss Art. 11 Abs. 7 1. Satz BVG stellt die Auffangeinrichtung dem säumigen Arbeitgeber den von ihm verursachten Verwaltungsaufwand in Rechnung. Gemäss Art. 3 Abs. 4 der Verordnung vom 28. August 1985 über die Ansprüche der Auffangeinrichtung der beruflichen Vorsorge (SR 831.434; im Folgenden: Verordnung über die Ansprüche der Auffangeinrichtung)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(B-act. 11 Beilage 3). Gemäss Art. 12 Abs. 1 BVG haben die Arbeitnehmer oder ihre Hinterlassenen Anspruch auf die gesetzlichen Leistungen, auch wenn sich der Arbeitgeber noch keiner Vorsorgeeinrichtung angeschlossen hat. Diese werden von der Auffangeinrichtung er-bracht. Art. 2 der Verordnung über die Ansprüche der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Artikel 12 BVG auszurichten. Insofern regelt Art. 12 BVG einen Spezialfall gegenüber Art. 11 BVG (BGE 129 V 237 E. 5 mit Hinweisen).</w:t>
      </w:r>
    </w:p>
    <w:p>
      <w:r>
        <w:rPr>
          <w:b/>
        </w:rPr>
        <w:t>E. 2.4</w:t>
      </w:r>
    </w:p>
    <w:p>
      <w:r>
        <w:t>Schliesst sich ein Arbeitgeber einer registrierten Vorsorgeeinrichtung an, so sind alle dem Gesetz unterstellten Arbeitnehmer bei dieser Vorsorgeeinrichtung versichert (Art. 7 Abs. 1 BVV2). Will sich der Arbeitgeber verschiedenen registrierten Vorsorgeeinrichtungen anschliessen, so muss er die Gruppen der Versicherten so bestimmen, dass alle dem Gesetz unterstellten Arbeitnehmer versichert sind (Art. 7 Abs. 2 BVV2).</w:t>
      </w:r>
    </w:p>
    <w:p>
      <w:r>
        <w:rPr>
          <w:b/>
        </w:rPr>
        <w:t>E. 3.1</w:t>
      </w:r>
    </w:p>
    <w:p>
      <w:r>
        <w:t>Es ist unter den Parteien unbestritten, dass die Vorinstanz vom Unfall des ehemaligen Arbeitnehmers E._______ erst im Jahre 2011 Kenntnis erhalten hat.</w:t>
      </w:r>
    </w:p>
    <w:p>
      <w:r>
        <w:rPr>
          <w:b/>
        </w:rPr>
        <w:t>E. 3.2</w:t>
      </w:r>
    </w:p>
    <w:p>
      <w:r>
        <w:t>Die rückwirkend auf den 1. Januar 2007 in Kraft getretene Anschlussvereinbarung wurde am 19. November 2007 von der Arbeitnehmervertretung, am 21. November 2007 von der Arbeitgeberin und am 9. Januar 2008 von der Auffangeinrichtung unterzeichnet (act. 4). Aufgrund des Umstands, dass der damalige Arbeitnehmer E._______ am 25. September 2007 einen Unfall erlitten hatte, ist die Vorinstanz der Auffassung, dass in Anwendung von Art. 12 BVG in Verbindung mit Art. 2 Abs. 2 der Verordnung über die Ansprüche der Auffangeinrichtung zwingend ein Zwangsanschluss vorzunehmen gewesen sei. Obwohl für den Beginn des Anspruchs auf Invalidenleistungen sinngemäss die entsprechenden Bestimmungen des Bundesgesetzes vom 19. Juni 1959 über die Invalidenversicherung (IVG; SR 831.20) gelten (Art. 26 Abs. 1 BVG) und der Versicherungsfall gemäss Art. 28 Abs. 1 in Verbindung mit Art. 29 Abs. 1 bis 3 IVG (in der ab 1. Januar 2008 geltenden Fassung; AS 2007 5129; BBl 2005 4459) erst nach Ablauf des Wartejahres resp. frühestens nach Ablauf von sechs Monaten nach Geltendmachung des Leistungs-anspruchs nach Art. 29 Abs. 1 des Bundesgesetzes vom 6. Oktober 2000 über den Allgemeinen Teil des Sozialversicherungsrechts (ATSG; SR 830.1) eintritt, ist die Beurteilung der Vorinstanz nicht zu beanstanden. Der Umstand, dass die per 1. Januar 2007 rückwirkende Anschlussvereinbarung im Zeitpunkt des Beginns des Versicherungsfalls aus IV-rechtlicher Sicht im September 2008 (act. 47) bereits von allen Parteien unterzeichnet gewesen war, vermag daran nichts zu ändern. Dies aus folgenden Gründen:</w:t>
      </w:r>
    </w:p>
    <w:p>
      <w:r>
        <w:rPr>
          <w:b/>
        </w:rPr>
        <w:t>E. 3.3.1</w:t>
      </w:r>
    </w:p>
    <w:p>
      <w:r>
        <w:t>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demjenigen Arbeitnehmer Versicherungsschutz angedeihen zu lassen, welcher nach einer längeren Krankheit aus dem Arbeitsverhältnis ausscheidet und erst später invalid wird.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(Art. 26 Abs. 3 BVG e contrario; BGE 118 V 35 E. 5 und 123 V 262 E. 1a).</w:t>
      </w:r>
    </w:p>
    <w:p>
      <w:r>
        <w:rPr>
          <w:b/>
        </w:rPr>
        <w:t>E. 3.3.2</w:t>
      </w:r>
    </w:p>
    <w:p>
      <w:r>
        <w:t>Da nach dem vorstehend Dargelegten das versicherte Ereignis nach Art. 23 BVG einzig der Eintritt der relevanten Arbeitsunfähigkeit - somit der 25. September 2007 und nicht der Beginn des Versicherungsfalls am 1. September 2008 aus IV-rechtlicher Sicht - ist und die Anschlussvereinbarung von allen Beteiligten erst nach dem Unfalltag unterzeichnet worden war, war die Vorinstanz - mangels Vorliegens eines (freiwilligen) Anschlusses - in Anwendung von Art. 12 Abs. 1 und Art. 60 Abs. 2 Bst. a BVG in Verbindung mit Art. 2 Abs. 2 der Verordnung über die Ansprüche der Auffangeinrichtung von Gesetzes wegen verpflichtet, die Beschwerdeführerin zwangsweise anzuschliessen. Ein Anschluss an die Auffangeinrichtung auf freiwilliger Basis hätte nur solange erfolgen können, als noch kein Leistungsfall eingetreten war. Es steht zweifelsfrei fest, dass die Beschwerdeführerin den Zwangsanschluss zu vertreten hat, da sie im Zeitpunkt des Unfallereignisses und somit bei Eintritt der relevanten Arbeitsunfähigkeit von E._______ im September 2007 keiner registrierten Vorsorgeeinrichtung angeschlossen gewesen war.</w:t>
      </w:r>
    </w:p>
    <w:p>
      <w:r>
        <w:rPr>
          <w:b/>
        </w:rPr>
        <w:t>E. 3.3.3</w:t>
      </w:r>
    </w:p>
    <w:p>
      <w:r>
        <w:t>Der Vorinstanz kann demnach nicht zum Vorwurf gemacht werden, dass sie am 24. Juli 2012 den freiwilligen in einen zwangsweisen Anschluss umgewandelt hat. Insofern ist Ziff. 1 des Dispositivs der angefochtenen Verfügung vom 24. Juli 2012, welche im Übrigen die Kündigungsmöglichkeit der Beschwerdeführerin tangiert, verständlich. Die Beschwerdeführerin hat die daraus entstandenen rechtlichen Konsequenzen zu tragen. Sie ist für den Aufwand der Vorinstanz im Zusammenhang mit der Anschlussverfügung vom 24. Juli 2012 verantwortlich und hat deshalb die Kosten, welche reglementskonform auf Fr. 450.- für die Verfügung und Fr. 750.- für die Durchführung des Leistungsfalls bei fehlender Vorsorge gemäss Art. 12 BVG festgesetzt wurden, zu übernehmen.</w:t>
      </w:r>
    </w:p>
    <w:p>
      <w:r>
        <w:rPr>
          <w:b/>
        </w:rPr>
        <w:t>E. 3.4</w:t>
      </w:r>
    </w:p>
    <w:p>
      <w:r>
        <w:t>Mit Blick auf den Umstand, dass die Vorinstanz der Beschwerdeführerin vor Erlass der angefochtenen Verfügung vom 24. Juli 2012 betreffend den beabsichtigten Zwangsanschluss das rechtliche Gehör nicht gewährt hatte und diese somit durch diesen Entscheid erstmals vom erforderlichen Zwangsanschluss Kenntnis hatte nehmen können, ist Folgendes festzuhalten:</w:t>
      </w:r>
    </w:p>
    <w:p>
      <w:r>
        <w:rPr>
          <w:b/>
        </w:rPr>
        <w:t>E. 3.4.1</w:t>
      </w:r>
    </w:p>
    <w:p>
      <w:r>
        <w:t>Nach Art. 29 Abs. 2 der Bundesverfassung der Schweizerischen Eidgenossenschaft vom 18. April 1999 (BV, SR 101) haben die Parteien Anspruch auf rechtliches Gehör. Diese Regelung bezweckt namentlich, verschiedene durch die bundesgerichtliche Rechtsprechung zu Art. 4 aBV konkretisierte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 aa, 126 I 68 E. 2, 126 V 130 E. 2b; SVR 2010 IV Nr. 14 S. 45 E. 2.4.1,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w:t>
      </w:r>
    </w:p>
    <w:p>
      <w:r>
        <w:rPr>
          <w:b/>
        </w:rPr>
        <w:t>E. 3.4.2</w:t>
      </w:r>
    </w:p>
    <w:p>
      <w:r>
        <w:t>Die Beschwerdeführerin liess beschwerdeweise eine Verletzung der Begründungspflicht rügen (B-act. 1). Betreffend den Anspruch auf rechtliches Gehör führte die Vorinstanz vernehmlassungsweise am 31. Oktober 2012 aus, der Arbeitgeber werde von Gesetzes wegen für alle dem Obligatorium unterstellten Arbeitnehmer der Auffangeinrichtung angeschlossen, falls der gesetzliche Anspruch eines Arbeitnehmers auf eine Versicherungs- oder Freizügigkeitsleistung zu einem Zeitpunkt entstehe, in dem sein Arbeitgeber noch keiner Vorsorgeeinrichtung angeschlossen sei. Aus dem Begriff "von Gesetzes wegen" leite die Gerichtspraxis ab, dass der Anschluss wohl zu verfügen sei, hingegen die Auffangeinrichtung als aufnehmende Vorsorgeeinrichtung von vornherein feststehe, weshalb das Mahnverfahren und das Wahlrecht des Arbeitgebers entfalle. Somit werde auch der Anspruch der Beschwerdeführerin auf rechtliches Gehör durch die angefochtene Zwangsanschlussverfügung weder tangiert noch verletzt.</w:t>
      </w:r>
    </w:p>
    <w:p>
      <w:r>
        <w:rPr>
          <w:b/>
        </w:rPr>
        <w:t>E. 3.4.3</w:t>
      </w:r>
    </w:p>
    <w:p>
      <w:r>
        <w:t>Die Vorinstanz kann sich auf die für den Entscheid wesentlichen Gesichtspunkte beschränken (BGE 124 V 180 E. 1a; SVR 2009 UV Nr. 32 S. 112 E. 3.1 mit Hinweis, 1996 UV Nr. 62 E. 4; RKUV 1994 K 928 S. 12 E. 2b). Diese nannte in Ziff. 1 der angefochtenen Verfügung vom 24. Juli 2012 betreffend Anschlusspflicht die massgeblichen Gesetzes- und Verordnungsbestimmungen und begründete - wenn auch knapp - rechtsgenüglich, weshalb die Beschwerdeführerin zwangsweise hatte angeschlossen werden müssen. Die Vorinstanz verletzte die Begründungspflicht als wesentlichen Bestandteil des Anspruchs auf rechtliches Gehör im Sinne von Art. 29 Abs. 2 BV somit nicht. Daran ändert nichts, dass der Beschwerdeführerin vor Erlass der angefochtenen Verfügung vom 24. Juli 2012 - zufolge Entfalls des Mahnverfahrens und des Wahlrechts (vgl. hierzu Urteil des Bundesgerichts 9C_655/2008 vom 2. September 2009 E. 5.3) - das rechtliche Gehör nicht gewährt worden war. Ergänzend ist darauf hinzuweisen, dass selbst bei einer Verletzung des Gehörsanspruchs dieser Mangel vorliegend als geheilt zu gelten hätte, da die Beschwerdeführerin einerseits die Möglichkeit hatte, sich vor dem Bundesverwaltungsgericht - welches über volle Kognition verfügt (vgl. E. 1.3 hiervor) - im Rahmen der Beschwerde vom 23. August 2012 (B-act. 1) und der Replik vom 10. Dezember 2012 (B-act. 10) zu äussern, und andererseits eine Rückweisung zu einem formalistischen Leerlauf und damit zu unnötigen Verzögerungen führen würde, die mit dem Interesse der Beschwerdeführerin an einer beförderlichen Beurteilung der Sache nicht zu vereinbaren wären.</w:t>
      </w:r>
    </w:p>
    <w:p>
      <w:r>
        <w:rPr>
          <w:b/>
        </w:rPr>
        <w:t>E. 4</w:t>
      </w:r>
    </w:p>
    <w:p>
      <w:r>
        <w:t>Aufgrund der vorstehenden Erwägungen ergibt sich zusammenfassend, dass die Beschwerde vom 23. August 2012 insofern gutzuheissen ist, als dass die angefochtene Verfügung vom 24. Juli 2012 betreffend den in Ziff. 2 des Dispositivs erwähnten Zuschlag aufzuheben ist. Der am 24. Juli 2012 verfügte Zwangsanschluss an die Auffangeinrichtung hingegen war zu Recht erfolgt und die ebenfalls in Ziff. 2 des Dispositivs erwähnten Kosten von insgesamt Fr. 1'200.- (für die Verfügung: Fr. 450.-; für die Durchführung des Leistungsfalls: Fr. 750.-) wurden korrekterweise und reglementskonform der Beschwerdeführerin auferlegt, weshalb die Beschwerde diesbezüglich als unbegründet abzuweisen ist.</w:t>
      </w:r>
    </w:p>
    <w:p>
      <w:r>
        <w:rPr>
          <w:b/>
        </w:rPr>
        <w:t>E. 5</w:t>
      </w:r>
    </w:p>
    <w:p>
      <w:r>
        <w:t>Zu befinden bleibt noch über die Verfahrenskosten und eine allfällige Parteientschädigung.</w:t>
      </w:r>
    </w:p>
    <w:p>
      <w:r>
        <w:rPr>
          <w:b/>
        </w:rPr>
        <w:t>E. 5.1</w:t>
      </w:r>
    </w:p>
    <w:p>
      <w:r>
        <w:t>Gemäss Art. 63 Abs. 1 VwVG werden die Verfahrenskosten in der Regel der unterliegenden Partei auferlegt. Abs. 2 Satz 1 dieser Bestimmung sieht zudem vor, dass Vorinstanzen und beschwerdeführenden und unterliegenden Bundesbehörden keine Verfahrenskosten auferlegt werden. Der Beschwerdeführerin sind mit Blick auf die teilweise Gutheissung der Beschwerde Verfahrenskosten in der Höhe von Fr. 400.- aufzuerlegen. Diese sind mit dem von ihr geleistete Kostenvorschuss (Fr. 800.-) zu verrechnen. Die Restanz von Fr. 400.- ist der Beschwerdeführerin nach Eintritt der Rechtskraft des vorliegenden Urteils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keine Parteientschädigung zuzusprechen (BGE 126 V 49 E. 4). Der Beschwerdeführerin ist eine von der Vorinstanz zu entrichtende und gemäss Art. 14 Abs. 2 VGKE mangels einer Kostennote aufgrund der Akten zu bestimmende Parteientschädigung zuzusprechen (Art. 64 Abs. 1 und 2 VwVG in Verbindung mit Art. 7 Abs. 1 des Reglements vom 21. Februar 2008 über die Kosten und Entschädigungen vor dem Bundes­verwaltungs­gericht [VGKE, SR 173.320.2]). Unter Berücksichtigung des Verfahrensausgangs (teilweises Obsiegen), des gebotenen und aktenkundigen Aufwands, der Bedeutung der Streitsache und der Schwierigkeit des vorliegend zu beurteilenden Verfahrens sowie in Anbetracht der in vergleichbaren Fällen gesprochenen Entschädigungen ist die (aufgrund des Verfahrensausgangs reduzierte) Parteientschädigung ermessensweise auf Fr. 1'800.- (inkl. Auslagen und Mehrwertsteuer [vgl. Art. 9 Abs. 1 in Verbindung mit Art. 10 Abs. 2 VGKE {Stundenansatz für Anwälte/Anwältinnen mindestens Fr. 200.- und höchstens Fr. 400.-}])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