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C-4359/2008 vom 17. Juli 2009</w:t>
      </w:r>
    </w:p>
    <w:p>
      <w:r>
        <w:t>Bundesverwaltungsgericht, 2009-07-17, FR</w:t>
      </w:r>
    </w:p>
    <w:p>
      <w:r>
        <w:rPr>
          <w:b/>
        </w:rPr>
        <w:t xml:space="preserve">Quelle: </w:t>
      </w:r>
      <w:r>
        <w:t>https://mcp.opencaselaw.ch/entscheid/bvger_C-4359_2008</w:t>
      </w:r>
    </w:p>
    <w:p>
      <w:r>
        <w:t>FR: TAF C-4359/2008 du 17 juillet 2009</w:t>
      </w:r>
    </w:p>
    <w:p>
      <w:r>
        <w:t>IT: TAF C-4359/2008 del 17 luglio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et Y._______ ont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la police des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in FF 2002 3531;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(au nombre desquels figure l'Accord du 26 octobre 2004 entre la Confédération suisse, l'Union européenne et la Communauté européenne sur l'association de la Confédération suisse à la mise en ?uvre, à l'application et au développement de l'acquis de Schengen [AAS, RS 0.360.268.1]) sont effectivement entrés en vigueur pour la Suisse le 12 décembre 2008. En vue de la mise en oeuvre des accords d'association à Schengen, le législateur a donc dû procéder à des adaptations correspondantes dans la LEtr (cf. en particulier art. 2 al. 4 LEtr, selon lequel les dispositions sur la procédure en matière de visa ainsi que sur l'entrée en Suisse et la sortie de Suisse ne s'appliquent que dans la mesure où les accords d'association à Schengen ne contiennent pas de dispositions divergentes). En outre,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(sur les détails de cette problématique, cf. parmi de nombreux autres, l'arrêt du Tribunal C-3209/2008 du 8 mai 2009 consid. 4 et 5).</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ressortissante du Maroc, A._______ est soumise à l'obligation du visa.</w:t>
      </w:r>
    </w:p>
    <w:p>
      <w:r>
        <w:rPr>
          <w:b/>
        </w:rPr>
        <w:t>E. 7.1</w:t>
      </w:r>
    </w:p>
    <w:p>
      <w:r>
        <w:t>Dans la décision attaquée, l'ODM a refusé d'autoriser l'entrée en Suisse de A._______,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w:t>
      </w:r>
    </w:p>
    <w:p>
      <w:r>
        <w:rPr>
          <w:b/>
        </w:rPr>
        <w:t>E. 7.2</w:t>
      </w:r>
    </w:p>
    <w:p>
      <w:r>
        <w:t>Il est à noter que lorsque l'autorité examine si l'étranger présente les garanties nécessaires en vue d'une sortie de l'Espace Schengen à l'échéance du séjour envisagé, elle ne peut le faire que, d'une part, sur la base d'indices fondés sur la situation personnelle, familiale ou professionnelle de l'étranger, d'autre part, sur une évaluation du comportement de l'étranger, une fois arrivé dans l'Espace Schengen, compte tenu des prémisses précitées. On ne saurait donc reprocher à l'autorité de prendre une décision contraire à la loi lorsque dite autorité se base sur les indices et l'évaluation précités pour appliquer ladite disposition.</w:t>
      </w:r>
    </w:p>
    <w:p>
      <w:r>
        <w:rPr>
          <w:b/>
        </w:rPr>
        <w:t>E. 7.3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peu favorable puisse influencer le comportement de la personne intéressée.</w:t>
      </w:r>
    </w:p>
    <w:p>
      <w:r>
        <w:rPr>
          <w:b/>
        </w:rPr>
        <w:t>E. 7.4</w:t>
      </w:r>
    </w:p>
    <w:p>
      <w:r>
        <w:t>A ce sujet, il faut prendre en considération la qualité de vie et les conditions économiques et sociales difficiles que connaît l'ensemble de la population du Maroc, conditions économiques qui ne sont pas sans exercer une pression migratoire importante, cette tendance étant encore renforcée, comme l'expérience l'a démontré, lorsque la personne concernée peut s'appuyer à l'étranger sur un réseau social (parents, amis) préexistant. Toutefois, la seule situation dans le pays d'origine du requérant ne suffit pas à conclure à l'absence de garantie quant à son retour à l'issue du séjour, toutes les particularités du cas d'espèce devant être prises en considération.</w:t>
      </w:r>
    </w:p>
    <w:p>
      <w:r>
        <w:rPr>
          <w:b/>
        </w:rPr>
        <w:t>E. 8</w:t>
      </w:r>
    </w:p>
    <w:p>
      <w:r>
        <w:t>En l'occurrence, sans pour autant minimiser les raisons d'ordre familial qui motivent sa demande, le Tribunal ne saurait admettre, au vu de l'ensemble des éléments du dossier, que le retour de A._______ au Maroc au terme de l'autorisation demandée puisse être considéré comme suffisamment garanti. Ainsi qu'il ressort des renseignements qui ont été communiqués aux autorités suisses dans le cadre de la présente affaire, l'intéressée est une personne divorcée et sans emploi stable et durable. Elle serait donc à même de se créer une nouvelle existence hors de sa patrie, sans que cela n'entraîne pour elle de difficulté majeure sur le plan personnel et professionnel. Même si elle dispose d'un cadre familial dans son pays et s'il convient d'admettre que de tels liens peuvent, dans une certaine mesure, inciter une personne, au terme du séjour envisagé en Suisse, à retourner dans le pays où elle réside, ils ne sauraient toutefois suffire, en l'espèce, à garantir le retour de l'intéressée au Maroc, au vu du contexte socio-économique et politique de ce pays. S'agissant des attaches professionnelles de la requérante au Maroc, le Tribunal relève que celle-ci serait couturière à domicile, activité qui lui permettrait de gagner modestement sa vie. Cela étant, compte tenu notamment de la disparité économique existant entre le Maroc et la Suisse, aucun élément du dossier ne permet de conclure que la situation de A._______ se trouverait péjorée si elle devait renoncer à celle qu'elle connaît dans son pays d'origine au profit de celle qu'elle pourrait se créer en Suisse. Il ne faut en effet pas perdre de vue que cette différence de niveau de vie peut s'avérer déterminante lorsque l'on prend la décision de quitter sa patrie. On ne saurait dès lors totalement exclure que l'intéressé mette à profit son séjour en Suisse pour y chercher un emploi lui procurant un meilleur revenu et y engager, à l'échéance de son visa, des formalités administratives en vue de prolonger, ne serait-ce que temporairement, son séjour dans ce pays. De plus, il lui serait d'autant plus facile de s'installer en Suisse que des membres de sa famille proche sont parfaitement intégrés au tissu économique et social suisse.</w:t>
      </w:r>
    </w:p>
    <w:p>
      <w:r>
        <w:rPr>
          <w:b/>
        </w:rPr>
        <w:t>E. 9</w:t>
      </w:r>
    </w:p>
    <w:p>
      <w:r>
        <w:t>Le Tribunal constate, sur un autre plan que les recourants n'ont pas donné suite à la réquisition par laquelle il les a invités à fournir des pièces attestant l'activité professionnelle de A._______ et ses liens de filiation avec B._______, ainsi que pour indiquer comment son fils handicapé serait pris en charge durant son séjour en Suisse. Or, à teneur de l'art. 8 du code civil suisse du 10 décembre 1907 (CC, RS 210), chaque partie doit, si la loi ne prévoit le contraire, prouver les faits qu'elle allègue pour en déduire son droit. Cette règle du droit privé trouve également son application en procédure administrative, où il incombe à l'administré d'établir les faits qui sont de nature à lui procurer un avantage (cf. ATF 122 II 393/394, consid. 4c/cc, ainsi que doctrine et jurisprudence citées; A. Grisel, Traité de droit administratif, Neuchâtel, 1984, vol I, p. 99 et vol. II, 929). C'est le lieu de rappeler que, si 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l'obligation de l'administré de prêter son concours à l'établissement des faits pertinents, en particulier dans les procédures qu'il introduit lui-même dans son propre intérêt (cf. art. 13 al. 1 let. a PA). Ce devoir de collaboration lui incombe également en ce qui concerne les faits qu'il est mieux à même de connaître (parce qu'ils ont trait spécifiquement à sa situation personnelle), ou que l'administration ne peut connaître, ou seulement au prix de frais excessifs (cf. ATF 128 II 139 consid. 2b p. 142s., ATF 124 II 361 consid. 2b p. 365, et la jurisprudence citée ; cf. également consid. 3.2 de l'arrêt du TF 2A.404/2004 du 18 février 2005, partiellement publié in: ATF 131 II 265, et les références citées ; Clémence Grisel, L'obligation de collaborer des parties en procédure administrative, Fribourg 2008, p. 248ss, spéc. p. 256s. ; Pierre Moor, Droit administratif, vol. II : Les actes administratifs et leur contrôle, Berne 2002, p. 258ss, ch. 2.2.6.3 ; Fritz Gygi, Bundesverwaltungsrechtspflege, Berne 1983, p. 208s., 284s.). Eu égard à ce qui précède, le manque de collaboration des recourants à l'établissement de la situation personnelle de A._______ amène le Tribunal à remettre en cause leur argumentation fondée sur les attaches professionnelles et les obligations familiales de la prénommée au Maroc et, partant, sur les garanties de son impérieux retour dans son pays à l'issue de son séjour touristique en Suisse.</w:t>
      </w:r>
    </w:p>
    <w:p>
      <w:r>
        <w:rPr>
          <w:b/>
        </w:rPr>
        <w:t>E. 10</w:t>
      </w:r>
    </w:p>
    <w:p>
      <w:r>
        <w:t>Les recourants ont allégué que des autorisations d'entrée en Suisse avaient été délivrées par le passé à d'autres membres de leur famille (soit à la mère et à la soeur de X._______) et se sont ainsi prévalu implicitement d'une violation du principe de l'égalité de traitement.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p. 114; 129 I 113 consid. 5.1 p. 125; 127 V 448 consid. 3b p. 454; 125 I 1 consid. 2b/aa p. 4 et la jurisprudence citée; cf. Arrêt du Tribunal administratif fédéral C-198/2006 du 26 juillet 2007 consid. 8.2 et jurisprudence citée). Le Tribunal relève à cet égard qu'en matière de délivrance d'autorisations d'entrée en Suisse, les spécificités de la cause, en particulier la situation personnelle de l'invité (soit notamment ses attaches familiales et professionnelles sur place ainsi que ses antécédents), sont déterminantes dans le cadre de la pesée des intérêts à laquelle les autorités helvétiques sont tenues de procéder, de sorte qu'il est très difficile d'établir des comparaisons entre plusieurs affaires (dans le même sens, arrêts du Tribunal fédéral 2A.305/2006 du 2 août 2006 consid. 5.3 et 2A.199/2006 du 2 août 2006 consid. 4.2 in fine, rendus en matière d'exception aux mesures de limitation du nombre des étrangers; voir également arrêt du Tribunal administratif fédéral C-7306/2007 du 2 septembre 2008 ). Dès lors, certains des parents de l'hôte domicilié sur territoire helvétique sont susceptibles d'obtenir un visa, sans qu'il en aille nécessairement de même pour les autres membres de sa parenté ou de sa famille vivant à l'étranger. Ce faisant, les autorités compétentes établissent des distinctions qui se justifient pleinement, sans qu'il y ait violation du principe d'égalité de traitement ou de l'interdiction de l'arbitraire (sur la notion d'égalité de traitement, cf. ATF 134 I 23 consid. 9.1, 132 I 157 consid. 4.1, 131 V 107 consid. 3.4.2 et la jurisprudence citée; sur la notion d'arbitraire, cf. ATF 133 I 149 consid. 3.1 et les références). En l'espèce, il ressort des informations fournies par les recourants que la mère et la soeur de X._______ ont obtenu des visas d'entrée en Suisse en 1980 et en 1990. Compte tenu de l'ancienneté des visas délivrés, les conditions d'octroi d'un visa d'entrée en Suisse ne peuvent guère être comparées. Au surplus, la situation des personnes concernées est sensiblement différente, ne serait-ce qu'au niveau du degré de parenté avec les recourants. Aussi, on ne saurait considérer qu'en rejetant, le 3 juin 2008, la demande de visa de A._______, l'ODM aurait violé le principe de l'égalité de traitement.</w:t>
      </w:r>
    </w:p>
    <w:p>
      <w:r>
        <w:rPr>
          <w:b/>
        </w:rPr>
        <w:t>E. 11</w:t>
      </w:r>
    </w:p>
    <w:p>
      <w:r>
        <w:t>En conséquence, au vu de l'ensemble des éléments de la cause, le Tribunal estime qu'il ne saurait être reproché à l'ODM d'avoir considéré que le départ de A._______ à l'échéance du visa requis n'était pas suffisamment assuré et, partant, d'avoir refusé la délivrance d'une autorisation d'entrée en sa faveur. Il ressort de ce qui précède que la décision de l'ODM du 22 avril 2008 est conforme au droit.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