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C-4358/2010 vom 7. November 2012</w:t>
      </w:r>
    </w:p>
    <w:p>
      <w:r>
        <w:t>Bundesverwaltungsgericht, 2012-11-07, FR</w:t>
      </w:r>
    </w:p>
    <w:p>
      <w:r>
        <w:rPr>
          <w:b/>
        </w:rPr>
        <w:t xml:space="preserve">Quelle: </w:t>
      </w:r>
      <w:r>
        <w:t>https://mcp.opencaselaw.ch/entscheid/bvger_C-4358_2010</w:t>
      </w:r>
    </w:p>
    <w:p>
      <w:r>
        <w:t>FR: TAF C-4358/2010 du 7 novembre 2012</w:t>
      </w:r>
    </w:p>
    <w:p>
      <w:r>
        <w:t>IT: TAF C-4358/2010 del 7 novembre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sur réexamen en matière d'interdiction d'entrée rendues par l'ODM - qui constitue une unité de l'administration fédérale au sens de l'art. 33 let. d LTAF - sont susceptibles de recours au Tribunal.</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2.1</w:t>
      </w:r>
    </w:p>
    <w:p>
      <w:r>
        <w:t>La procédure administrative distingue les moyens de droit ordinaires et extraordinaires. Contrairement aux premiers, les seconds sont dirigés contre des décisions entrées en force de chose jugée formelle, à savoir contre des décisions que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 dont l'examen incombe à l'autorité de recours et suppose que la cause ait fait l'objet d'une décision matérielle sur recours - et la demande de réexamen ou de reconsidération - dont l'examen incombe à l'autorité inférieure - relèvent de la procédure extraordinaire (cf. Ursina Beerli-Bonorand, Die ausserordenlichen Rechtsmittel in der Verwaltungsrechtspflege des Bundes und der Kantone, Zurich 1985, p. 45s., p. 80s. et p. 171ss ; sur la distinction entre la révision et le réexamen lorsque la cause a fait l'objet d'une décision matérielle sur recours, cf. Jurisprudence et informations de la Commission suisse de recours en matière d'asile [JICRA] 1995 n° 21 consid. 1c).</w:t>
      </w:r>
    </w:p>
    <w:p>
      <w:r>
        <w:rPr>
          <w:b/>
        </w:rPr>
        <w:t>E. 2.2</w:t>
      </w:r>
    </w:p>
    <w:p>
      <w:r>
        <w:t>En l'espèce, la décision d'interdiction d'entrée rendue le 10 février 2000 n'avait pas été contestée par le recourant et est ainsi entrée en force de chose jugée formelle. Dès lors, seule la voie du réexamen devant l'autorité inférieure, utilisée une première fois en août 2005, était ouverte dans le cadre de la présente cause.</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 RS 101). Dans la mesure où la demande de réexamen est un moyen de droit extraordinaire, l'autorité administrative n'est tenue de s'en saisir qu'à certaines conditions, ce qui est normalement le cas, selon la jurisprudence et la doctrine, lorsque le requérant invoque l'un des motifs de révision prévus par l'art. 66 PA - à savoir, notamment, des faits, respectivement des moyens de preuve importants, qu'il ne connaissait pas lors de la première décision ou dont il ne pouvait se prévaloir ou n'avait pas de raison de se prévaloir à l'époque - ou lorsque les circonstances se sont modifiées dans une mesure notable depuis que la première décision a été rendue (cf. ATF 136 II 177 consid. 2.1, ATF 127 I 133 consid. 6, et la jurisprudence citée ; cf. également ATAF 2010/5 consid. 2.1.1, et la jurisprudence et la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et ATF 131 II 329 consid. 3.2). La procédure extraordinaire ne saurait toutefois servir de prétexte pour remettre continuellement en question des décisions entrées en force, ni surtout viser à éluder les dispositions légales sur les délais de recours (cf. ATF 136 II précité consid. 2.1).</w:t>
      </w:r>
    </w:p>
    <w:p>
      <w:r>
        <w:rPr>
          <w:b/>
        </w:rPr>
        <w:t>E. 3.2</w:t>
      </w:r>
    </w:p>
    <w:p>
      <w:r>
        <w:t>L'instance inférieure est entrée en matière sur la demande de réexamen du recourant, a procédé à un examen matériel et, sur cette base, rendu une nouvelle décision. Le Tribunal dispose par conséquent d'un plein pouvoir d'examen pour déterminer si l'interdiction qui frappe A._______ est encore conforme au droit fédéral. En revanche, la question de savoir si la première décision était justifiée ne fait pas l'objet de la présente procédure (cf. ATAF 2008/24 consid. 2.2, et les références citées).</w:t>
      </w:r>
    </w:p>
    <w:p>
      <w:r>
        <w:rPr>
          <w:b/>
        </w:rPr>
        <w:t>E. 4.1</w:t>
      </w:r>
    </w:p>
    <w:p>
      <w:r>
        <w:t>A._______, ressortissant kosovar et serbe, est marié à une citoyenne bulgare qui, dans la mesure où elle a conservé cette nationalité (cf. lettre du 1er août 2010), est devenue double nationale à la suite de l'acquisition de la nationalité suisse (cf. copie du passeport suisse, annexée au courrier du 15 septembre 2011). Le recourant est donc l'époux d'une citoyenne d'un des Etats membres de la Communauté européenne (CE).</w:t>
      </w:r>
    </w:p>
    <w:p>
      <w:r>
        <w:rPr>
          <w:b/>
        </w:rPr>
        <w:t>E. 4.2</w:t>
      </w:r>
    </w:p>
    <w:p>
      <w:r>
        <w:t>Compte tenu de cette situation de fait, la question de savoir si le recourant peut se prévaloir de l'Accord du 21 juin 1999 entre la Confédération suisse d'une part, et la Communauté européenne et ses Etats membres, d'autre part, sur la libre circulation des personnes (ALCP ; RS 0.142.112.681) se pose. En effet, en vertu de l'art. 3 par. 1 et 2 annexe I ALCP, les membres de la famille, tel le conjoint ou la conjointe d'une personne ressortissant d'une partie contractante ayant un droit de séjour, ont le droit de s'installer avec elle. Par ailleurs, selon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sauf aux membres de la famille [...] qui ne possèdent pas la nationalité de la partie contractante. Dans le cas d'espèce, en l'absence de toute demande formelle du recourant visant à l'octroi d'une autorisation de séjour en sa faveur, le Tribunal observe que la question à trancher, en l'état et compte tenu du cadre du présent litige, est limitée à celle de l'interdiction d'entrée en Suisse et se pose uniquement dans l'optique d'une autorisation de pénétrer sur le territoire suisse et non pas dans celle de bénéficier de droits (originaires ou dérivés) accordés par l'Accord précité, en particulier dans le contexte du regroupement familial.</w:t>
      </w:r>
    </w:p>
    <w:p>
      <w:r>
        <w:rPr>
          <w:b/>
        </w:rPr>
        <w:t>E. 4.3</w:t>
      </w:r>
    </w:p>
    <w:p>
      <w:r>
        <w:t>La question de savoir si l'exercice de ce droit dérivé (entrée en Suisse) peut être subsumé sous le droit de bénéficier du regroupement familial au sens de l'art. 3 annexe I ALCP et si, en conséquence, la mesure d'éloignement prononcée contre le recourant le 10 février 2000 est conforme au droit communautaire peut cependant être laissée in casu ouverte, le recours devant de toute façon être admis sous l'angle du droit interne, comme il sera exposé ci-dessous (cf. à ce sujet, l'arrêt du Tribunal administratif fédéral C-5960/2008 du 27 août 2009, consid. 5).</w:t>
      </w:r>
    </w:p>
    <w:p>
      <w:r>
        <w:rPr>
          <w:b/>
        </w:rPr>
        <w:t>E. 5</w:t>
      </w:r>
    </w:p>
    <w:p>
      <w:r>
        <w:t>Dans sa demande de réexamen du 10 août 2009, A._______ invoque l'impossibilité de poursuivre ses activités artistiques en Suisse et - depuis l'entrée en vigueur, en Suisse, des Accords de Schengen - dans les pays de l'Espace Schengen où il possède un atelier et un institut. Il met en exergue la présence en Suisse de son épouse et de sa fille, toutes deux ressortissantes helvétiques. En cela, il se prévaut implicitement de la protection de l'art. 8 CEDH.</w:t>
      </w:r>
    </w:p>
    <w:p>
      <w:r>
        <w:rPr>
          <w:b/>
        </w:rPr>
        <w:t>E. 5.1</w:t>
      </w:r>
    </w:p>
    <w:p>
      <w:r>
        <w:t>Dans sa jurisprudence relative au réexamen des mesures d'éloignement d'une durée indéterminée, le Tribunal considère que si le comportement d'un étranger interdit d'entrée en Suisse et dans l'Espace Schengen pour une durée indéterminée n'a pas fait l'objet de plaintes depuis longtemps - environ dix ans après avoir purgé sa dernière peine privative de liberté - cela peut indiquer que la mesure de sécurité à son encontre n'est plus nécessaire. Dans ce cas, l'interdiction d'entrée doit faire l'objet d'un réexamen approfondi (cf. ATAF 2008/24 consid. 6.2 à 6.4, arrêt dans lequel le Tribunal a retenu que le recourant pouvait se prévaloir d'un droit à un réexamen approfondi du fait que presque dix ans s'étaient écoulés depuis la fin de l'exécution de la peine et que les infractions commises remontaient à dix-huit ans et plus).</w:t>
      </w:r>
    </w:p>
    <w:p>
      <w:r>
        <w:rPr>
          <w:b/>
        </w:rPr>
        <w:t>E. 5.2</w:t>
      </w:r>
    </w:p>
    <w:p>
      <w:r>
        <w:t>Du dossier, il appert que A._______ a été condamné, en 1995, à une peine de trois ans d'emprisonnement, principalement pour avoir commis des infractions à la LStup. Après avoir passé quatorze mois en détention préventive, entre le 10 mai 1994 et le 12 juillet 1995, le prénommé a purgé le solde de sa peine en semi-liberté jusqu'à la fin du mois de mai 1998. Ainsi, plus de quatorze années se sont écoulées depuis la fin de l'exécution de la peine de privation de liberté. Depuis lors, mises à part sa tentative de pénétrer illégalement en Suisse le 18 août 2005, nonobstant l'interdiction d'entrée dont il avait connaissance, et quelques infractions mineures au code de la route commises au Kosovo, son comportement est exempt de tout reproche. Il ressort en effet de l'attestation du Tribunal communal de Gjilan du 6 septembre 2011, dont l'authenticité a été reconnue par l'Ambassade de Suisse à Pristina, et des informations recueillies auprès d'INTERPOL UNMIK (United Nations Interim Administration Mission in Kosovo), que l'intéressé ne fait l'objet d'aucune poursuite et qu'il n'a pas été - à l'exception des infractions routières mineures dont il a été fait précédemment mention - condamné pénalement au Kosovo. Les mesures d'instruction effectuées par l'intermédiaire de l'OFJ et de FEDPOL auprès de la Belgique et du Luxembourg, pays dans lesquels A._______ a résidé quelque temps depuis février 2000, et auprès de la Serbie, dont le prénommé est également ressortissant, ont abouti à la conclusion que l'intéressé n'avait pas commis d'infraction pénale (cf. ci-dessus, let. N).</w:t>
      </w:r>
    </w:p>
    <w:p>
      <w:r>
        <w:rPr>
          <w:b/>
        </w:rPr>
        <w:t>E. 5.3</w:t>
      </w:r>
    </w:p>
    <w:p>
      <w:r>
        <w:t>Dans ces circonstances, le Tribunal considère que le comportement de A._______, pris dans son ensemble au cours des quatorze dernières années, justifie qu'il soit procédé à un réexamen matériel approfondi de l'interdiction d'entrée toujours en vigueur et ce, malgré la tentative d'entrée illégale en Suisse survenue il y a plus de sept ans à présent et les infractions de peu d'importance à la circulation routière commises au Kosovo.</w:t>
      </w:r>
    </w:p>
    <w:p>
      <w:r>
        <w:rPr>
          <w:b/>
        </w:rPr>
        <w:t>E. 6</w:t>
      </w:r>
    </w:p>
    <w:p>
      <w:r>
        <w:t>Dans ce cadre, il convient d'examiner, en tenant compte de la situation actuelle, si la mesure d'interdiction d'entrée satisfait encore au principe de proportionnalité. En particulier, doivent ainsi être analysés la nécessité de ladite mesure afin de préserver la sécurité et l'ordre publics en Suisse, l'intérêt public à son maintien et l'intérêt privé du recourant à sa levée.</w:t>
      </w:r>
    </w:p>
    <w:p>
      <w:r>
        <w:rPr>
          <w:b/>
        </w:rPr>
        <w:t>E. 6.1.1</w:t>
      </w:r>
    </w:p>
    <w:p>
      <w:r>
        <w:t>C'est non seulement en raison de sa participation à un trafic de stupéfiants, mais également pour faux dans les certificats que A._______ a été condamné en 1995. Les infractions contre la LStup, commises en 1991, ont été qualifiées de graves, le prénommé ayant, sans droit, effectué des opérations de courtage portant sur 2,5 kilos de cocaïne. En la matière, le Tribunal fédéral a développé une pratique particulièrement stricte (cf. ATF 125 II 521 consid.4a/aa ; arrêt du Tribunal fédéral 2C_117/2012 du 11 juin 2012 consid. 4.5.1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 stupéfiants doivent donc s'attendre à faire l'objet de mesures d'éloignement (arrêt du Tribunal fédéral 2C_227/2011 du 25 août 2011 consid. 3.1 et la jurisprudence citée).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(cf. également l'arrêt du Tribunal fédéral 2C_351/2008 du 22 octobre 2008 consid. 2.3).</w:t>
      </w:r>
    </w:p>
    <w:p>
      <w:r>
        <w:rPr>
          <w:b/>
        </w:rPr>
        <w:t>E. 6.1.2</w:t>
      </w:r>
    </w:p>
    <w:p>
      <w:r>
        <w:t>Le Tribunal constate à ce sujet que le recourant, aujourd'hui âgé de soixante-sept ans, n'a, depuis sa condamnation en 1995, plus été inquiété pour pareille affaire, que ce soit en Suisse, jusqu'à son départ en 2000, en Belgique, au Luxembourg et au Kosovo, où il a par la suite résidé quelque temps, ou en Serbie, pays dont il est ressortissant (cf. ci-dessus, let. N et consid. 5.2). Malgré sa tentative de pénétrer sur le territoire suisse en 2005 et quelques infractions mineures en matière de circulation routière commises au Kosovo (cf. ci-dessus, let. C et N, ainsi que le consid. 5.2), le Tribunal considère que A._______ s'est amendé, tout occupé qu'il est depuis de nombreuses années à sa vie artistique - argument abondamment développé dans ses écritures - et à sa charge de professeur à l'université de Pristina (cf. ci-dessus, let. F.b). Les actes punissables commis en 1991, certes graves, remontent à vingt et un ans. Au vu de la conduite de l'intéressé depuis lors et de sa situation sociale et professionnelle, le risque qu'il commette de nouvelles infractions peut être qualifié de peu important. En conséquence, le recourant ne représente plus une menace grave au sens de l'art. 67 al. 3 LEtr, pour la sécurité et l'ordre publics en Suisse. Ainsi, l'intérêt public à tenir A._______ éloigné de Suisse n'apparaît plus actuel.</w:t>
      </w:r>
    </w:p>
    <w:p>
      <w:r>
        <w:rPr>
          <w:b/>
        </w:rPr>
        <w:t>E. 6.2</w:t>
      </w:r>
    </w:p>
    <w:p>
      <w:r>
        <w:t>Même à supposer l'existence d'un tel intérêt public, force est de constater que l'intérêt privé de A._______ à pouvoir entrer en Suisse et dans l'Espace Schengen et à y circuler librement prédomine. En effet, l'intérêt privé du recourant consiste ici, d'une part, à pouvoir rendre visite à sa fille et à son épouse, dont il est séparé depuis la décision de mesures protectrices de l'union conjugale prise par le Président du Tribunal civil de Martigny en date du 3 décembre 1997 - cette séparation, qui n'a pas été à ce jour suivie d'une procédure de divorce, avait été requise par B._______ "pour pourvoir rester en Suisse", A._______ restant néanmoins "l'homme de [sa] vie" (cf. courrier du 1er août 2010, p. 2) - et, d'autre part, à poursuivre sa carrière artistique en Suisse et dans l'Espace Schengen, principalement en Belgique et au Luxembourg. Or, la mesure d'éloignement en vigueur depuis plus de douze ans et demi restreint de manière considérable les possibilités de A._______, son épouse, B._______, et sa fille, C._______, de se rencontrer et enlève au recourant toutes perspectives professionnelles et artistiques dans l'Espace Schengen, en particulier toutes possibilités d'y organiser des expositions.</w:t>
      </w:r>
    </w:p>
    <w:p>
      <w:r>
        <w:rPr>
          <w:b/>
        </w:rPr>
        <w:t>E. 7</w:t>
      </w:r>
    </w:p>
    <w:p>
      <w:r>
        <w:t>Au vu de ce qui précède, le maintien de l'interdiction d'entrée en Suisse et dans l'Espace Schengen pour une durée indéterminée, compte tenu du comportement du recourant depuis 1998, date à laquelle le recourant a achevé de purger sa peine, de l'écoulement du temps, des intérêts en présence, n'apparaît plus nécessaire à la préservation de l'ordre et la sécurité publics en Suisse. Ainsi, l'interdiction d'entrée, prononcée il y a plus de douze ans et demi, doit être levée avec effet immédiat. Au regard des considérants exposés ci-dessus, il est superflu d'examiner si le maintien de la mesure querellée est constitutif d'une violation de l'art. 8 CEDH.</w:t>
      </w:r>
    </w:p>
    <w:p>
      <w:r>
        <w:rPr>
          <w:b/>
        </w:rPr>
        <w:t>E. 8</w:t>
      </w:r>
    </w:p>
    <w:p>
      <w:r>
        <w:t>Il ressort de ce qui précède que la décision prononcée par l'ODM le 12 mai 2010 ne respecte pas le principe de proportionnalité et, en conséquence, est contraire au droit (cf. art. 49 let. a PA). Pour ce motif, le recours doit être admis. Vu l'issue de la présente procédure, il n'y a pas lieu de mettre les frais de procédure à la charge du recourant (art. 63 al. 1 PA a contrario). Par ailleurs, il ne se justifie pas d'allouer des dépens au sens de l'art. 64 al. 1 PA, en relation avec l'art. 7 al. 2 du règlement du 21 février 2008 concernant les frais dépens et indemnités fixés par le Tribunal administratif fédéral (FITAF ; RS 173.320.2), dans la mesure où le recourant n'est pas représenté par un mandataire professionnel (cf. ATF 134 I 184 consid. 6.3 et la jurisprudence citée) et où l'on ne saurait considérer comme élevés les frais éventuels qu'il a eu à supporter (cf. Jurisprudence des autorités administratives de la Confédération [JAAC] 57.35).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