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C-4355/2009 vom 15. März 2011</w:t>
      </w:r>
    </w:p>
    <w:p>
      <w:r>
        <w:t>Bundesverwaltungsgericht, 2011-03-15, FR</w:t>
      </w:r>
    </w:p>
    <w:p>
      <w:r>
        <w:rPr>
          <w:b/>
        </w:rPr>
        <w:t xml:space="preserve">Quelle: </w:t>
      </w:r>
      <w:r>
        <w:t>https://mcp.opencaselaw.ch/entscheid/bvger_C-4355_2009</w:t>
      </w:r>
    </w:p>
    <w:p>
      <w:r>
        <w:t>FR: TAF C-4355/2009 du 15 mars 2011</w:t>
      </w:r>
    </w:p>
    <w:p>
      <w:r>
        <w:t>IT: TAF C-4355/2009 del 15 marzo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Par conséquent, les dispositions de la 5ème révision de la LAI entrées en vigueur le 1er janvier 2008 sont ap­plicables.</w:t>
      </w:r>
    </w:p>
    <w:p>
      <w:r>
        <w:rPr>
          <w:b/>
        </w:rPr>
        <w:t>E. 3</w:t>
      </w:r>
    </w:p>
    <w:p>
      <w:r>
        <w:t>La recourante a présenté sa deuxième demande de rente le 20 juin 2008. Selon l'art. 29bis du règlement du 17 janvier 1961 sur l'assurance-invalidité (RAI, RS 831.201), si la rente a été supprimée du fait de l'abaissement du degré d'invalidité et que l'assuré, dans les trois ans qui suivent, présente à nouveau un degré d'invalidité ouvrant le droit à la rente en raison d'une incapacité de travail de même origine, la période d'attente qui a précédé le premier octroi est déduite de celle que lui imposerait l'art. 28 al. 1 let. b LAI. En l'espèce, l'incapacité de travail étant de même origine, le Tribunal peut se limiter à examiner si la recourante avait droit à une rente le 31 janvier 2008, date du début de sa nouvelle incapacité de travail, ou si le droit à une rente était né entre cette date et le 5 juin 2009, date de la décision attaquée marquant la limite dans le temps du pouvoir d'examen de l'autorité de recours (ATF 129 V 1 consid. 2.1 et ATF 121 V 362 consid. 1b).</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4.3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(méthode spécifique). Si l'assuré exerçait une activité lucrative à temps partiel il convient de pondérer les deux méthodes (méthode mixte) en fonction du temps alors attribué à l'activité lucrative et aux activités domestiques (art. 28a al. 3 LAI et 27bis RAI). L'invalidité de l'assuré est évaluée selon l'une ou l'autre de ces trois méthodes en fonction de ce qu'il aurait fait dans les mêmes circonstances si l'atteinte à la santé n'était pas survenue.</w:t>
      </w:r>
    </w:p>
    <w:p>
      <w:r>
        <w:rPr>
          <w:b/>
        </w:rPr>
        <w:t>E. 5.2</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7.1</w:t>
      </w:r>
    </w:p>
    <w:p>
      <w:r>
        <w:t>En l'espèce, il n'est pas contesté que l'invalidité doit être évaluée sur la base de la méthode mixte. En effet, avant la survenance de ses problèmes de santé, l'intéressée travaillait à 80% comme laborantine, se consacrant le restant du temps à ses tâches ménagères, et vraisemblablement elle aurait continué de travailler à temps partiel sans ses problèmes. Depuis mai 2008, elle travaille à 50% (4 fois 5 heures par jour au lieu de 40 heures par semaines usuelles, voir pce 44 et mémoire de recours). En ce qui concerne les tâches ménagères, l'enquête du 18 mars 2009 a mis en évidence une invalidité de 29.75% (pce 44). La recourante ne conteste pas ce résultat et le Tribunal de céans n'y voit aucune raison d'y revenir.</w:t>
      </w:r>
    </w:p>
    <w:p>
      <w:r>
        <w:rPr>
          <w:b/>
        </w:rPr>
        <w:t>E. 7.2</w:t>
      </w:r>
    </w:p>
    <w:p>
      <w:r>
        <w:t>Il est établi que la recourante souffre de douleurs aux genoux ne lui permettant plus d'exercer son activité antérieure à 80% en raison d'un travail nécessitant d'être debout à quelque 2/3 du temps d'activité. Le médecin traitant de l'assurée, Dr B._______, fait état d'une capacité de travail résiduelle de 62.5% du 80%, soit un 50% d'un 100%, alors que les médecins du travail de l'employeur ont indiqué qu'une activité à 60% d'un 100% était compatible avec la pathologie de l'assurée. Cette estimation a été reprise par la Dresse C._______ sur la base de l'appréciation du Dr D._______, orthopédiste. Par ailleurs, selon le service médical de l'Office AI cantonal, l'intéressée pourrait exercer une activité de laborantine en biologie essentiellement en position assise à 100%.</w:t>
      </w:r>
    </w:p>
    <w:p>
      <w:r>
        <w:rPr>
          <w:b/>
        </w:rPr>
        <w:t>E. 7.3</w:t>
      </w:r>
    </w:p>
    <w:p>
      <w:r>
        <w:t>Or, la différence d'appréciation de 50% ou 60% de la capacité de travail résiduelle n'est pas déterminante en l'espèce parce que, de toute manière, la recourante ne présente pas un degré d'invalidité d'au moins 40%, nécessaire pour avoir droit à un quart de rente.</w:t>
      </w:r>
    </w:p>
    <w:p>
      <w:r>
        <w:rPr>
          <w:b/>
        </w:rPr>
        <w:t>E. 7.3.1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7.3.2</w:t>
      </w:r>
    </w:p>
    <w:p>
      <w:r>
        <w:t>En l'espèce, en ce qui concerne la part consacrée à l'activité lucrative, la perte de gain correspond à l'incapacité de travail, étant donné que l'intéressée continue d'exercer le même travail que celui avant l'invalidité, bien qu'à un taux inférieur (comparaison en pour-cent: ATF 114 V 310 consid. 3a; 104 V 135 consid. 2b et arrêt du Tribunal fédéral 9C_310 /2009 du 14 avril 2010 consid. 3.2). Pour une activité de 50% au lieu de 80%, il en résulte une perte de gain de 37.5% (30 x 100 : 80 = 37.5%). Contrairement à ce que indique la recourante dans son mémoire, l'invalidité totale de la personne assurée résulte de l'addition des taux d'invalidité pondérés dans les deux domaines (Circulaire sur l'invalidité et l'impotence dans l'assurance-invalidité CIIAI chiffre 3099). Ainsi, pour la part lucrative, la perte de gain se calcule de la manière suivante: pour une quote-part de 80% et une perte de gain de 37.5%, on peut comptabiliser un degré d'invalidité de 30% (37.5% x 80% = 30%). Pour la part consacrée aux activités ménagères, pour une quote-part de 20% et un empêchement dans les tâches ménagères de 29.75%, on obtient un degré d'invalidité de 5.95%. Le cumul des taux pris en compte en fonction du pourcentage des temps consacrés à chacune des activités donne un degré d'invalidité de 35.95%. Ce taux ne donne pas droit à un quart de rente.</w:t>
      </w:r>
    </w:p>
    <w:p>
      <w:r>
        <w:rPr>
          <w:b/>
        </w:rPr>
        <w:t>E. 7.4</w:t>
      </w:r>
    </w:p>
    <w:p>
      <w:r>
        <w:t>Vu ce qui précède, le recours doit être rejeté et la décision attaquée être confirmée. Au vu de l'issue du litige, la demande d'une expertise orthopédique doit être également rejetée, d'autant plus qu'il n'est pas contesté que la recourante, jusqu'à la date de la décision attaquée, pouvait travailler à 50%.</w:t>
      </w:r>
    </w:p>
    <w:p>
      <w:r>
        <w:rPr>
          <w:b/>
        </w:rPr>
        <w:t>E. 7.5</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8.1</w:t>
      </w:r>
    </w:p>
    <w:p>
      <w:r>
        <w:t>Le présent arrêt peut être rendu dans une procédure à juge unique (art. 85bis al. 3 de la loi fédérale du 20 décembre 1946 sur l'assurance-vieillesse et survivants [RS 831.10] auquel renvoie l'art. 69 al. 2 LAI).</w:t>
      </w:r>
    </w:p>
    <w:p>
      <w:r>
        <w:rPr>
          <w:b/>
        </w:rPr>
        <w:t>E. 8.2</w:t>
      </w:r>
    </w:p>
    <w:p>
      <w:r>
        <w:t>Les frais de procédure, fixés à CHF 400.-, sont mis à la charge de la recourante (art. 63 al. 1 PA, applicable par le truchement de l'art. 37 LTAF). Ils sont compensés par l'avance de frais du même montant dont elle s'est acquittée au cours de l'instruction.</w:t>
      </w:r>
    </w:p>
    <w:p>
      <w:r>
        <w:rPr>
          <w:b/>
        </w:rPr>
        <w:t>E. 8.3</w:t>
      </w:r>
    </w:p>
    <w:p>
      <w:r>
        <w:t>Vu l'issue du litige,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