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C-4355/2008 vom 31. März 2010</w:t>
      </w:r>
    </w:p>
    <w:p>
      <w:r>
        <w:t>Bundesverwaltungsgericht, 2010-03-31, FR</w:t>
      </w:r>
    </w:p>
    <w:p>
      <w:r>
        <w:rPr>
          <w:b/>
        </w:rPr>
        <w:t xml:space="preserve">Quelle: </w:t>
      </w:r>
      <w:r>
        <w:t>https://mcp.opencaselaw.ch/entscheid/bvger_C-4355_2008</w:t>
      </w:r>
    </w:p>
    <w:p>
      <w:r>
        <w:t>FR: TAF C-4355/2008 du 31 mars 2010</w:t>
      </w:r>
    </w:p>
    <w:p>
      <w:r>
        <w:t>IT: TAF C-4355/2008 del 31 marzo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le recourant a déposé sa demande de prestations de l'assurance-invalidité le 29 septembre 2006 et la décision litigieuse la concernant a été prononcée le 9 mai 2008. Les dispositions de la 5ème révision de la LAI et de la LPGA entrées en vigueur le 1er janvier 2008 sont donc applicables et les dispositions citées ci-après sont, sauf précision contraire, celles en vigueur à compter du 1er janvier 2008. Toutefois, le droit à la rente s'étendant jusqu'au 31 décembre 2007 est examiné à la lumière des anciennes dispositions.</w:t>
      </w:r>
    </w:p>
    <w:p>
      <w:r>
        <w:rPr>
          <w:b/>
        </w:rPr>
        <w:t>E. 5</w:t>
      </w:r>
    </w:p>
    <w:p>
      <w:r>
        <w:t>Le recourant a présenté sa demande de rente le 29 septembre 2006.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29 septembre 2005 (12 mois avant le dépôt de la demande) ou si le droit à une rente était né entre cette date et le 9 mai 2008,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 invalidité suisse: être invalide au sens de la LPGA/LAI et avoir versé des cotisations à l'AVS/AI durant au moins une année (art. 36 LAI en vigueur jusqu'au 31 décembre 2007), respectivement - à compter du 1er janvier 2008 - durant trois années au total, dont au moins une en Suisse, auprès d'une assurance sociale assimilée d'un Etat membre de l'Union européenne (UE) ou de l'Association européenne de libre échange (FF 2005 p. 4291; art. 45 du règlement 1408/71). En l'occurrence, le recourant remplit la condition liée à la durée minimale de cotisations. Il reste dès lors à examiner si l'intéressé pouvait être qualifié d'invalide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1. sa capacité de gain ou sa capacité d'accomplir ses travaux habituels ne peut pas être rétablie, maintenue ou améliorée par des mesures de réadaptation raisonnablement exigibles (art. 28 al. 1 let. a LAI); 2. il a présenté une incapacité de travail (art. 6 LPGA) d'au moins 40% en moyenne durant une année sans interruption notable (art. 28 al. 1 let. b LAI); 3. au terme de cette année il est invalide (art. 8 LPGA) à 40% au moins (art. 28 al. 1 let. c LAI).</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w:t>
      </w:r>
    </w:p>
    <w:p>
      <w:r>
        <w:rPr>
          <w:b/>
        </w:rPr>
        <w:t>E. 8.2</w:t>
      </w:r>
    </w:p>
    <w:p>
      <w:r>
        <w:t>En ce qui concerne plus spécifiquement la détermination de l'incapacité de gain des travailleurs indépendants, le Tribunal fédéral a établi que l'invalidité doit être évaluée, dans l'activité exercée, d'après l'incidence de la capacité de rendement amoindrie sur la situation économique concrète (ATF 128 V 29 consid. 1). Sur la base de cette méthode, dite extraordinaire, on constate d'abord l'empêchement dû à l'atteinte à la santé, puis on examine les effets de cet empêchement sur la capacité de gain (Pratique VSI 2/1998 p. 121; Droit des assurances sociales - Jurisprudence SVR 1996 IV n° 74 consid. 2b). Toutefois, si l'intéressé a cessé toute activité indépendante, on peut renoncer à l'application de la méthode de calcul extraordinaire, la comparaison des activités exercées avant et après la survenance de l'invalidité n'étant plus possible dans un tel cas (Assurance-maladie et accidents, Jurisprudence et pratique administrative [RAMA] 1995 p. 107).</w:t>
      </w:r>
    </w:p>
    <w:p>
      <w:r>
        <w:rPr>
          <w:b/>
        </w:rPr>
        <w:t>E. 8.3</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8.4</w:t>
      </w:r>
    </w:p>
    <w:p>
      <w:r>
        <w:t>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8.5</w:t>
      </w:r>
    </w:p>
    <w:p>
      <w:r>
        <w:t>Après son départ de Suisse, A._______ a repris une activité lucrative en tant que plombier indépendant, occupation qu'il a interrompue le 6 octobre 2006 pour raison de maladie. Le recourant ayant exercé son activité habituelle à plein temps, selon ses déclarations, jusqu'à cette date, il ne saurait y avoir d'invalidité au sens de la LAI avant octobre 2006. Depuis cette date, il n'a pas repris d'activité lucrative, il convient dès lors de se référer, à l'instar de l'autorité inférieure, à l'appréciation des médecins.</w:t>
      </w:r>
    </w:p>
    <w:p>
      <w:r>
        <w:rPr>
          <w:b/>
        </w:rPr>
        <w:t>E. 9</w:t>
      </w:r>
    </w:p>
    <w:p>
      <w:r>
        <w:t>Il ressort des pièces médicales versées au dossier de la cause pendant l'instruction de la demande que le diagnostic suivant a été posé en relation à la capacité de travail de l'assuré: lombalgies chroniques sur spondyloarthrose lombaire avec hernies discales pluri-étagées sans radiculopathie. En ce qui concerne la période antérieure au 1er janvier 2008, l'art. 29 al. 1 let. a LAI, dans sa teneur en vigueur jusqu'au 31 décembre 2007, est dès lors inapplicable, eu égard au fait qu'il ne s'agit pas là d'un état de santé stabilisé. Seule peut donc entrer en considération pour cette période l'art 29 al. 1 let. b LAI, dans sa teneur d'avant le 1er janvier 2008, qui prévoyait une période d'attente d'une année à partir du moment où l'assuré a présenté une incapacité de travail de 40% sans interruption notable.</w:t>
      </w:r>
    </w:p>
    <w:p>
      <w:r>
        <w:rPr>
          <w:b/>
        </w:rPr>
        <w:t>E. 10</w:t>
      </w:r>
    </w:p>
    <w:p>
      <w:r>
        <w:t>Dans la décision entreprise et dans sa réponse au recours, l'OAIE a estimé que A._______ ne présentait pas une incapacité de travail suffisante pour ouvrir le droit à une rente, dans la mesure où l'incapacité de gain qui en résultait ne dépassait pas 40%. Le recourant avance ne plus pouvoir exercer aucune activité lucrative et estime avoir droit à une rente d'invalidité.</w:t>
      </w:r>
    </w:p>
    <w:p>
      <w:r>
        <w:rPr>
          <w:b/>
        </w:rPr>
        <w:t>E. 10.1</w:t>
      </w:r>
    </w:p>
    <w:p>
      <w:r>
        <w:t>En date du 2 octobre 2006, le Dr C._______ de l'I.N.S.S. a établi un rapport E 213 (pce OAIE 22) duquel il ressort que A._______ souffrait d'une dégénérescence discale accompagnée d'ostéophytose de L3-L4 à L5-S1, plus marquée en L4-L5, ainsi que d'hernies postéro-médianes et latérales droite en L3-L4 et L4-L5 avec diminution du diamètre du canal rachidien. Ce diagnostic a en outre été confirmé par imagerie médicale du 3 novembre 2006 (pce OAIE 27). L'examen effectué par le Dr C._______ a mis en évidence une mobilité cervicale et lombaire dans la norme ainsi que l'absence de preuve de radiculopathie à la manipulation. Le Dr C._______ n'a rapporté aucune limitation fonctionnelle et a indiqué que les activités légères à moyennement lourdes pouvaient être réalisées à plein temps. Dans sa prise de position médicale du 31 août 2008 (pce OAIE 27), la Drsse G._______ du Service médical de l'OAIE a estimé que les pièces versées au dossier ne renseignaient pas à suffisance et a, par conséquent, requis la mise en oeuvre de nouveaux examens médicaux. Dans ce cadre, l'I.N.S.S. a ordonné l'exécution d'un électroneuromyogramme, d'un examen ostéo-musculaire et l'établissement d'un rapport neurologique. Le premier de ces examens n'a mis en évidence ni radiculopathie ni pathologie neurologique périphérique sur les atteintes lombaires (pce OAIE 33). Le second (pce OAIE 34) a fourni un tableau clinique complet des atteintes cervicale, lombaire et dorsale, décrivant des douleurs à la palpation, des contractures musculaires et des points douloureux, une mobilité réduite de l'ensemble de la colonne en latéralisation et en flexion-extension ainsi qu'en rotation lombaire avec une irradiation à ce dernier niveau et une distension pelvienne de l'articulation coxo-fémorale bilatéralement douloureuse. Dans son rapport du 26 novembre 2007, la Drsse H._______, neurologue, a conclu à des céphalées de tension et des lombo-sciatalgies sans preuve actuelle de complications neurologiques significatives (pce OAIE 35). Le rapport E 213 établi le 26 décembre 2006 par le Dr I._______ (pce OAIE 36) ne diffère ni dans ses conclusions ni dans ses prémisses de celui établi en octobre 2006 par le Dr C._______ (pce OAIE 22). Dans sa deuxième prise de position (pce OAIE 40), la Drsse G._______ du Service médical de l'OAIE a retenu le diagnostic de lombalgies chroniques sur spondyloarthrose lombaire avec hernies discales pluri-étagées sans radiculopathie et a conclu à une incapacité de travail de 70% dans l'activité de plombier, la capacité de travail étant toutefois entière dans des activités adaptées à l'état de santé de l'assuré et respectant ses limitations fonctionnelles.</w:t>
      </w:r>
    </w:p>
    <w:p>
      <w:r>
        <w:rPr>
          <w:b/>
        </w:rPr>
        <w:t>E. 10.2</w:t>
      </w:r>
    </w:p>
    <w:p>
      <w:r>
        <w:t>Dans son mémoire de recours et ses écritures subséquentes, le recourant a soutenu qu'en raison de son état de santé, il ne pouvait travailler en aucune façon. Il a de plus affirmé qu'en raison des atteintes à la santé qu'il subissait, il lui serait impossible de trouver une activité de substitution adaptée. Or, le Tribunal administratif fédéral ne peut que constater que A._______ se contente de vagues allégations générales et ne produit aucune pièce, ni ne fourni d'argumentation, de nature à infirmer l'appréciation unanime des médecins de l'I.N.S.S. et de l'OAIE.</w:t>
      </w:r>
    </w:p>
    <w:p>
      <w:r>
        <w:rPr>
          <w:b/>
        </w:rPr>
        <w:t>E. 10.3</w:t>
      </w:r>
    </w:p>
    <w:p>
      <w:r>
        <w:t>Le Tribunal de céans ne peut que constater sur la base de ce qui précède que A._______ présente une incapacité d'au moins 70% dans sa profession habituelle de plombier depuis le 15 mai 2006, date d'une brève hospitalisation, en raison des atteintes au niveau lombaire et des limitations fonctionnelles qu'elle impliquent. En effet, conformément à l'appréciation de la Drsse G._______, on ne peut exiger de l'assuré qu'il exerce cette activité dans une plus large mesure. Toutefois, l'autorité de céans ne voit pas en quoi A._______ serait empêché d'accomplir à plein temps une activité adaptée à sa condition, comme celles proposées par le médecin du Service médical de l'OAIE et qui répondent aux indications des médecins de l'I.N.S.S. qui ont établi les rapport E 213. En effet, les atteintes dont souffre le recourant n'occasionnent pas de limitations fonctionnelles objectivables en relation avec les tâches qu'implique le travail dans des activités légères à moyennement lourdes qui demeurent accessibles sans aucune formation particulière.</w:t>
      </w:r>
    </w:p>
    <w:p>
      <w:r>
        <w:rPr>
          <w:b/>
        </w:rPr>
        <w:t>E. 11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75 consid. 3b/aa et bb).</w:t>
      </w:r>
    </w:p>
    <w:p>
      <w:r>
        <w:rPr>
          <w:b/>
        </w:rPr>
        <w:t>E. 11.1</w:t>
      </w:r>
    </w:p>
    <w:p>
      <w:r>
        <w:t>En l'occurrence, le recourant n'a ni présenté de chiffre concernant un éventuel salaire qu'il réaliserait dans une activité adaptée à son handicap ni même allégué avoir une telle activité. Dès lors, le fait de se référer à l'ESS pour déterminer le revenu résultant d'une activité qu'on peut raisonnablement attendre du recourant en considération de son état de santé n'est pas critiquable. Dans ce contexte, il convient également de se fonder sur l'ESS pour établir le revenu de l'intéressé sans invalidité. En effet, en ce qui concerne l'évaluation de l'invalidité qui s'effectue en comparant le revenu d'invalide à celui sans invalidité, il importe que les deux termes de la comparaison soient effectivement commensurables et qu'ils se rapportent donc à un même marché du travail et soient issus d'une même base.</w:t>
      </w:r>
    </w:p>
    <w:p>
      <w:r>
        <w:rPr>
          <w:b/>
        </w:rPr>
        <w:t>E. 11.2</w:t>
      </w:r>
    </w:p>
    <w:p>
      <w:r>
        <w:t>En l'espèce, le recourant ayant cessé totalement son activité indépendante depuis le mois d'octobre 2006, il convient de procéder à une évaluation de l'invalidité selon la méthode générale par une comparaison de revenus entre le salaire théorique que l'assuré aurait pu gagner en Suisse comme plombier employé avec un revenu théorique selon les activités de substitution légères à moyennement lourdes proposées par le Service médical de l'OAIE. Vu les circonstances, il s'agit de comparer les revenus en fonction de ce qu'ils étaient, ou auraient pu être, en 2007, douze mois après l'apparition des atteintes causant l'incapacité d'au moins 40% (art. 29 al. 1 let. b LAI; ATF 129 V 222, 128 V 174) et non en 2006 ainsi que l'a fait l'OAIE (pce OAIE 40).</w:t>
      </w:r>
    </w:p>
    <w:p>
      <w:r>
        <w:rPr>
          <w:b/>
        </w:rPr>
        <w:t>E. 11.2.1</w:t>
      </w:r>
    </w:p>
    <w:p>
      <w:r>
        <w:t>En se référant au Tableau TA1 relatif aux salaires bruts standardisés de l'ESS 2006 de l'Office fédéral de la statistique, valeur dans le domaine de la construction, pour un homme avec des connaissances professionnelles spécialisées (niveau de qualification 3), on retient pour le recourant un revenu statistique mensuel moyen de Fr. 5'422.-- qu'il convient d'augmenter à Fr. 5'514.-- compte tenu de l'évolution des salaires de 1.7% dans ce domaine entre 2006 et 2007 (La Vie économique 12-2008, B 10.2). Après adaptation au nombre d'heures de travail hebdomadaires effectuées en 2007 en moyenne dans le secteur de la construction, à savoir 41.7 heures (La Vie économique 12-2008, B 9.2), par rapport aux 40 heures standardisées de l'ESS, on obtient un revenu sans invalidité de Fr 5'748.--.</w:t>
      </w:r>
    </w:p>
    <w:p>
      <w:r>
        <w:rPr>
          <w:b/>
        </w:rPr>
        <w:t>E. 11.2.2</w:t>
      </w:r>
    </w:p>
    <w:p>
      <w:r>
        <w:t>Les activités de substitution proposées par la Drsse G._______ du Service médical de l'OAIE, exigibles à plein temps, sont des activités légères à moyennement lourdes comparables à des activités simples et répétitives, de niveau de qualification 4 selon le Tableau TA1, dans les domaine des services collectifs et personnels (revenu mensuel selon l'ESS 2006: Fr. 4'259.--), du commerce de détail (Fr. 4'383.--), du commerce de gros (Fr. 4'792.--), des services aux entreprises (Fr. 4'563.--) ou de l'industrie manufacturière (Fr. 5'003.--). En raison de l'évolution des salaires entre 2006 et 2007 (La Vie économique 12-2008, B 10.2), il convient encore d'augmenter ces revenus de 1.3% (d'où Fr. 4'314.--), de 1.4% (d'où Fr. 4'444.--), de 1.4% (d'où Fr. 4'859.--), de 2.1% (d'où Fr. 4'658.--) et de 1.5% (d'où Fr 5'078.--) respectivement. Ces revenus, adaptés au nombre d'heures hebdomadaires effectuées en moyenne en 2007 dans chaque secteur (41.8 h/sem. [d'où Fr. 4'508.--, Fr. 4'644.--, Fr. 5'077.-- et Fr. 4'868.--] et 41.2 h/sem. respectivement [d'où Fr. 5'230.--]; La Vie économique 12-2008, B 9.2), correspondent en moyenne à Fr. 4'865.--. Compte tenu de l'âge de l'assuré, de son handicap, et du fait qu'il ne peut exercer que des activités adaptées, il se justifie d'opérer, à l'instar de l'OAIE, une réduction du salaire d'invalide de 10%, étant entendu que l'abaissement maximal pour raison d'âge et de handicap admis par la jurisprudence est de 25% (ATF 126 V 728 consid. 5) et que, dans ce contexte, le recourant est encore relativement jeune, ne présente pas de limitations fonctionnelles en relation avec les activités de substitution envisagées et peut effectuer ces dernières à plein temps. Le salaire d'invalide théorique dans les activités de substitution proposées par la Drsse G._______ du Service médical de l'OAIE, exigibles à plein temps, s'établit donc à Fr. 4'378.--.</w:t>
      </w:r>
    </w:p>
    <w:p>
      <w:r>
        <w:rPr>
          <w:b/>
        </w:rPr>
        <w:t>E. 11.3</w:t>
      </w:r>
    </w:p>
    <w:p>
      <w:r>
        <w:t>La comparaison du revenu sans invalidité de Fr. 5'748.-- au revenu d'invalide de Fr. 4'378.-- fait apparaître un préjudice économique de 24% (23.8%). Le recourant subit donc une perte de gain de 24% dès le mois d'octobre 2006, soit depuis qu'il a cessé son activité lucrative. Le taux d'invalidité du recourant n'atteint donc pas les 40% nécessaires pour obtenir le droit à une rente. Dans ces circonstances, le recours doit être rejeté et la décision entreprise confirmée.</w:t>
      </w:r>
    </w:p>
    <w:p>
      <w:r>
        <w:rPr>
          <w:b/>
        </w:rPr>
        <w:t>E. 12</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Dans ce contexte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 Jurisprudence et pratique administrative des autorités d'exécution de l'AVS/AI (VSI) 1999 p. 247 consid. 1, 1998 p. 296 consid. 3b).</w:t>
      </w:r>
    </w:p>
    <w:p>
      <w:r>
        <w:rPr>
          <w:b/>
        </w:rPr>
        <w:t>E. 13</w:t>
      </w:r>
    </w:p>
    <w:p>
      <w:r>
        <w:t>Les frais de procédure, fixés à Fr. 300.-, sont mis à la charge du recourant (art. 69 al. 1bis LAI et art. 63 al. 1 PA, applicable par renvoi de l'art. 37 LTAF). Ils sont compensés par l'avance de frais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