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C-4342/2010 vom 9. Mai 2011</w:t>
      </w:r>
    </w:p>
    <w:p>
      <w:r>
        <w:t>Bundesverwaltungsgericht, 2011-05-09, FR</w:t>
      </w:r>
    </w:p>
    <w:p>
      <w:r>
        <w:rPr>
          <w:b/>
        </w:rPr>
        <w:t xml:space="preserve">Quelle: </w:t>
      </w:r>
      <w:r>
        <w:t>https://mcp.opencaselaw.ch/entscheid/bvger_C-4342_2010</w:t>
      </w:r>
    </w:p>
    <w:p>
      <w:r>
        <w:t>FR: TAF C-4342/2010 du 9 mai 2011</w:t>
      </w:r>
    </w:p>
    <w:p>
      <w:r>
        <w:t>IT: TAF C-4342/2010 del 9 maggio 2011</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 2.Le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En l'occurrence, la décision querellée, compte tenu des faits reprochés au recourant, est fondée sur l'ancien art. 67 al. 1 let. a LEtr qui correspond en tout point à l'alinéa 2 let. a du nouvel art. 67 LEtr. Certes, le texte français du nouvel art. 67 al. 2 let. a LEtr ne reprend pas les termes "de manière grave ou répétée" contenus dans l'ancien art. 67 al. 1 let. a LEtr. Il convient toutefois de souligner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Il apparaît enfin que la durée de la mesure prononcée le 17 mai 2010 n'excède pas cinq ans. En conséquence, l'application du nouveau droit à ces éléments de fait ne pose aucun problème de rétroactivité proprement dite.</w:t>
      </w:r>
    </w:p>
    <w:p>
      <w:r>
        <w:rPr>
          <w:b/>
        </w:rPr>
        <w:t>E. 3.2</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CAAS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 6801/2010 du 1er avril 2011 consid. 4 et C 1667/2010 du 21 mars 2011 consid. 3.3).</w:t>
      </w:r>
    </w:p>
    <w:p>
      <w:r>
        <w:rPr>
          <w:b/>
        </w:rPr>
        <w:t>E. 3.3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3.4</w:t>
      </w:r>
    </w:p>
    <w:p>
      <w:r>
        <w:t>En application de l'art. 81 OASA, les autorités cantonales peuvent déposer une demande auprès de l'ODM afin qu'il ordonne une interdiction d'entrée.</w:t>
      </w:r>
    </w:p>
    <w:p>
      <w:r>
        <w:rPr>
          <w:b/>
        </w:rPr>
        <w:t>E. 3.5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Ausländerinnen und Ausländern in der Schweiz von A(syl) bis Z(ivilrecht), 2ème éd., Peter Uebersax/Beat Rudin/Thomas Hugi Yar/Thomas Geiser [éd.], Bâle 2009, ch. 8.80 p. 356).</w:t>
      </w:r>
    </w:p>
    <w:p>
      <w:r>
        <w:rPr>
          <w:b/>
        </w:rPr>
        <w:t>E. 4</w:t>
      </w:r>
    </w:p>
    <w:p>
      <w:r>
        <w:t>En l'espèce, l'ODM a rendu à l'endroit de A._______ une interdiction d'entrée au motif que celui-ci avait attenté à la sécurité et à l'ordre publics, au regard de l'activité délictuelle qu'il avait déployée tout au long de son séjour en Suisse. L'examen du dossier amène à constater que le recourant a successivement été condamné en Suisse: - le 20 avril 2000, à 60 jours d'emprisonnement et à 3 ans d'expulsion du territoire suisse pour infraction à la LStup, - le 31 octobre 2000, à 1 mois d'emprisonnement et à 3 ans d'expulsion pour infraction à la LStup, - le 30 juillet 2002, à 1 mois d'emprisonnement pour vol d'un élément de faible valeur, escroquerie, faux dans les titres et rupture de ban, - le 14 janvier 2004, à 5 jours d'emprisonnement pour lésions corporelles simples et contravention à la LStup, - le 13 avril 2004, à Fr. 1000.- d'amende pour conduite en état d'ébriété et circulation sans permis de conduire, - le 27 août 2004, à 1 mois d'emprisonnement pour recel, - le 8 décembre 2005, à 2 mois d'emprisonnement pour escroquerie, - le 21 novembre 2006, à Fr. 1000.- d'amende pour violation grave des règles de la circulation routière, - le 10 octobre 2007, à 30 jours-amende à Fr. 40.- pour conducteur se trouvant dans l'incapacité de conduire (véhicule automobile, taux d'alcoolémie qualifié), conduite sans permis de conduire ou malgré un retrait (véhicule automobile), - le 25 avril 2008, à 120 jours-amende à Fr. 30.- pour conduite sans permis de conduire ou malgré un retrait (véhicule automobile), usage abusif de permis ou de plaques de contrôle, faux dans les certificats, obtention frauduleuse de permis ou d'autorisation (circulation routière), - le 29 mars 2010, à 2 mois de peine privative de liberté pour escroquerie et entrée illégale (commis à réitérées reprises). En considération des multiples délits commis par A._______ tout au long de son séjour en Suisse, le Tribunal est amené à conclure que celui-ci représente manifestement un danger pour la sécurité et l'ordre publics (au sens précisé dans le consid. 3.3), de sorte qu'il se justifie de prononcer une interdiction d'entrée à son encontre. L'intérêt de la Confédération commande en effet de maintenir éloignés de son territoire les ressortissants étrangers qui n'entendent pas respecter l'ordre juridique suisse afin de prévenir la commission d'infractions sur le sol helvétique et d'assurer la protection de la collectivité. C'est en conséquence à bon droit que l'autorité intimée a estimé que le recourant avait attenté à la sécurité et à l'ordre publics au sens de l'art. 67 al. 2 let. a LEtr.</w:t>
      </w:r>
    </w:p>
    <w:p>
      <w:r>
        <w:rPr>
          <w:b/>
        </w:rPr>
        <w:t>E. 5.1</w:t>
      </w:r>
    </w:p>
    <w:p>
      <w:r>
        <w:t>Dans son recours, A._______ s'est prévalu implicitement de l'art. 8 de la Convention du 4 novembre 1950 de sauvegarde des droits de l'homme et des libertés fondamentales (CEDH, RS 0.101), en déclarant que la mesure d'éloignement prononcée à son encontre l'empêchait d'accompagner sa fille en Suisse.</w:t>
      </w:r>
    </w:p>
    <w:p>
      <w:r>
        <w:rPr>
          <w:b/>
        </w:rPr>
        <w:t>E. 5.2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p. 145s.; 131 II 265 consid. 5, p. 269; 130 II 281 consid. 3.1, p. 285; Alain Wurzburger, La jurisprudence récente du Tribunal fédéral en matière de police des étrangers, Revue de droit administratif et fiscal [RDAF] 1997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de la Constitution fédérale de la Confédération suisse du 18 avril 1999 (Cst.; RS 101) garantit la même protection (ATF 129 II 215 consid. 4.2, pp. 218/219).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 p. 639).</w:t>
      </w:r>
    </w:p>
    <w:p>
      <w:r>
        <w:rPr>
          <w:b/>
        </w:rPr>
        <w:t>E. 5.3</w:t>
      </w:r>
    </w:p>
    <w:p>
      <w:r>
        <w:t>En l'espèce, le Tribunal constate que le recourant ne peut en principe pas tirer argument de la protection de la vie familiale consacré par l'art. 8 par 1 CEDH, dès lors que sa fille est domiciliée auprès de sa mère en France, comme d'ailleurs le recourant lui-même, et que celui-ci est ainsi parfaitement en mesure d'y entretenir librement des relations régulières avec son enfant. Le Tribunal considère au demeurant que, même si l'intéressé entendait se prévaloir de l'art. 8 par. 1 CEDH en raison de la présence en Suisse de sa fille, l'intérêt public à son éloignement l'emporte, de toute manière, sur son intérêt privé à pouvoir entrer librement dans ce pays, en considération des multiples condamnations pénales dont il y a fait l'objet et de son mépris des décisions prises à son encontre. L'intéressé n'a en effet pas hésité à y revenir à deux reprises malgré la mesure d'éloignement dont il a fait l'objet et il y a, une fois de plus, été interpellé dans le cadre d'une enquête pour escroquerie. Dans ces circonstances, la décision querellée est compatible avec l'art. 8 par. 2 CEDH.</w:t>
      </w:r>
    </w:p>
    <w:p>
      <w:r>
        <w:rPr>
          <w:b/>
        </w:rPr>
        <w:t>E. 6</w:t>
      </w:r>
    </w:p>
    <w:p>
      <w:r>
        <w:t>Il reste à examiner si la mesure d'éloignement prise par l'ODM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parmi d'autres l'arrêt du Tribunal administratif fédéral C-2306/2008 du 13 octobre 2009 consid. 9 et références citées).</w:t>
      </w:r>
    </w:p>
    <w:p>
      <w:r>
        <w:rPr>
          <w:b/>
        </w:rPr>
        <w:t>E. 6.2</w:t>
      </w:r>
    </w:p>
    <w:p>
      <w:r>
        <w:t>L'interdiction d'entrée prononcée à l'endroit de A._______ est une mesure administrative de contrôle qui tend à le tenir éloigné de Suisse, dans la mesure où il s'est rendu coupable d'une multitude de délits dans ce pays. Il en va de l'intérêt de l'Etat à voir respectés l'ordre établi et la législation en vigueur (cf. arrêt du Tribunal de céans C-5479/2008 du 24 juillet 2009 consid. 6.2.2). Il convient de rappeler en outre que le recourant a démontré, une nouvelle fois, durant la présente procédure, qu'il n'entendait, ni se soumettre aux décisions des autorités, ni adopter un comportement respectueux des lois suisses (cf. lettre J du présent arrêt). Dans ces circonstances, son intérêt privé à pouvoir se déplacer librement en Suisse ne saurait être considéré comme prépondérant par rapport à l'intérêt public à son éloignement. Cela étant, au vu de l'ensemble des éléments objectifs et subjectifs de la cause, le Tribunal estime que l'interdiction d'entrée en Suisse prononcée par l'autorité inférieure jusqu'au 16 mai 2015 est adéquate et que sa durée, fixée à cinq ans, respecte le principe de proportionnalité. Par ailleurs, cette mesure n'est pas contraire au principe d'égalité de traitement, au regard des décisions prises par les autorités dans des cas analogues.</w:t>
      </w:r>
    </w:p>
    <w:p>
      <w:r>
        <w:rPr>
          <w:b/>
        </w:rPr>
        <w:t>E. 7</w:t>
      </w:r>
    </w:p>
    <w:p>
      <w:r>
        <w:t>Comme déjà mentionné au considérant 3.2 supra,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(cf. sur le sujet art. 92 ss CAAS), en vertu des art. 94 par. 1 et 96 CAAS et de l'art. 16 al. 2 et 4 LSIP. Lorsqu'une Partie Contractante envisage de délivrer un titre de séjour à un étranger qui est signalé aux fins de non-admission, elle consulte au préalable la Partie Contractante signalante et prend en compte les intérêts de celle-ci; le titre de séjour ne sera délivré que pour des motifs sérieux, notamment d'ordre humanitaire ou résultant d'obligations internationales. Si le titre de séjour est délivré, la Partie Contractante signalante procède au retrait du signalement, mais peut cependant inscrire cet étranger sur sa liste nationale de signalement (art. 25 par. 1 CAAS). En l'espèce, le Tribunal constate que, lors du prononcé de la décision attaquée, A._______ était titulaire en France d'une carte de séjour temporaire, valable du 21 septembre 2009 au 20 septembre 2010 et que ce titre de séjour a été renouvelé pour la période du 21 septembre 2010 au 20 septembre 2011. Aussi, force est de constater que le titre de séjour n'a pas été retiré. Dans ces circonstances, il appartiendra à l'ODM de procéder au retrait du signalement du recourant dans le SIS, conformément à l'art. 25 par. 2 CAAS.</w:t>
      </w:r>
    </w:p>
    <w:p>
      <w:r>
        <w:rPr>
          <w:b/>
        </w:rPr>
        <w:t>E. 8</w:t>
      </w:r>
    </w:p>
    <w:p>
      <w:r>
        <w:t>Il ressort de ce qui précède que la décision de l'ODM du 17 mai 2010 est conforme au droit, sous réserve de la publication de refus d'entrée dans le SIS. Le recours est en conséquence partiellement admis et l'ODM est invité à procéder au retrait du signalement du recourant dans le SIS. Bien qu'elle succombe partiellement, l'autorité intimée n'a pas à supporter de frais de procédure (art. 63 al. 2 PA). Compte tenu de l'issue de la cause, il y a lieu de mettre des frais réduits de procédure à la charge du recourant (art. 63 al. 1 PA). Le recourant pourrait par ailleurs prétendre à l'allocation de dépens réduits pour les frais nécessaires et relativement élevés causés par le litige (cf. art. 7 du règlement du 21 février 2008 concernant les frais, dépens et indemnités fixés par le Tribunal administratif fédéral [FITAF, RS 173.320.2]). En l'espèce, il ne se justifie toutefois pas d'allouer des dépens, dès lors que le recourant a agi dans la présente cause sans l'assistance d'un mandataire professionnel (cf. ATF 134 I 184 consid. 6.3, 113 Ib 357 consid. 6b, 107 Ib 283) et que l'on ne saurait considérer comme élevés les frais éventuels qu'il a eu à supporter (cf.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