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C-4341/2007 vom 18. Dezember 2007</w:t>
      </w:r>
    </w:p>
    <w:p>
      <w:r>
        <w:t>Bundesverwaltungsgericht, 2007-12-18, DE</w:t>
      </w:r>
    </w:p>
    <w:p>
      <w:r>
        <w:rPr>
          <w:b/>
        </w:rPr>
        <w:t xml:space="preserve">Quelle: </w:t>
      </w:r>
      <w:r>
        <w:t>https://mcp.opencaselaw.ch/entscheid/bvger_C-4341_2007</w:t>
      </w:r>
    </w:p>
    <w:p>
      <w:r>
        <w:t>FR: TAF C-4341/2007 du 18 décembre 2007</w:t>
      </w:r>
    </w:p>
    <w:p>
      <w:r>
        <w:t>IT: TAF C-4341/2007 del 18 dicembre 2007</w:t>
      </w:r>
    </w:p>
    <w:p>
      <w:pPr>
        <w:pStyle w:val="Heading2"/>
      </w:pPr>
      <w:r>
        <w:t>Regeste</w:t>
      </w:r>
    </w:p>
    <w:p>
      <w:r>
        <w:t>Kostenbeteiligung</w:t>
      </w:r>
    </w:p>
    <w:p>
      <w:pPr>
        <w:pStyle w:val="Heading2"/>
      </w:pPr>
      <w:r>
        <w:t>Erwägungen</w:t>
      </w:r>
    </w:p>
    <w:p>
      <w:r>
        <w:rPr>
          <w:b/>
        </w:rPr>
        <w:t>E. 1.1</w:t>
      </w:r>
    </w:p>
    <w:p>
      <w:r>
        <w:t>Verfügungen des BFM betreffend Vermögenswertabnahme unterliegen der Beschwerde an das Bundesverwaltungsgericht (Art. 86 Abs. 4 AsylG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1.3</w:t>
      </w:r>
    </w:p>
    <w:p>
      <w:r>
        <w:t>Der Beschwerdeführer ist als Verfügungsbetroffener legitimiert (Art. 48 ff. VwVG). Auf die frist- und formgerechte Beschwerde ist einzutreten, soweit sie sich gegen die angefochtene Vermögenswertabnahme vom 29. Mai 2007 richtet.</w:t>
      </w:r>
    </w:p>
    <w:p>
      <w:r>
        <w:rPr>
          <w:b/>
        </w:rPr>
        <w:t>E. 2.1</w:t>
      </w:r>
    </w:p>
    <w:p>
      <w:r>
        <w:t>Nach Art. 86 Abs. 1 AsylG sind Asylsuchende und Schutzbedürftige ohne Aufenthaltsbewilligung verpflichtet, für die Rückerstattung von Fürsorge-, Ausreise- und Vollzugskosten sowie für die Kosten des Rechtsmittelverfahrens Sicherheit zu leisten. Der Bund richtet ausschliesslich zu diesem Zweck Sicherheitskonti ein (Art. 86 Abs. 2 AsylG). Art. 86 Abs. 4 AsylG bestimmt, dass Asylsuchende und Schutzbedürftige ohne Aufenthaltsbewilligung ihre Vermögenswerte, die nicht aus dem Erwerbseinkommen stammen, offen legen müssen. Die zuständigen Behörden können solche Vermögenswerte bis zum voraussichtlichen Betrag der Fürsorge-, Ausreise- und Vollzugskosten sowie der Kosten des Rechtsmittelverfahrens zu Handen des Sicherheitskontos sicherstellen und mit den aufgelaufenen Kosten verrechnen, soweit die Herkunft der Vermögenswerte nicht nachgewiesen wird (Art. 86 Abs. 4 Bst. a AsylG) oder diese einen vom Bundesrat festzusetzenden Betrag übersteigen (Art. 86 Abs. 4 Bst. b AsylG). Zurzeit ist ein Betrag von Fr. 1'000.- massgeblich (vgl. Art. 14 Abs. 3 der Asylverordnung 2 über Finanzierungsfragen vom 11. August 1999 [AsylV2, SR 142.312]). Als Vermögenswerte gemäss Art. 86 Abs. 4 AsylG können Geldbeträge, geldwerte Gegenstände und unkörperliche Werte wie Bankguthaben sichergestellt werden (vgl. Art. 14 Abs. 1 AsylV2).</w:t>
      </w:r>
    </w:p>
    <w:p>
      <w:r>
        <w:rPr>
          <w:b/>
        </w:rPr>
        <w:t>E. 2.2</w:t>
      </w:r>
    </w:p>
    <w:p>
      <w:r>
        <w:t>Gemäss der in Art. 86 Abs. 4 Bst. a AsylG vorgesehenen Beweislastumkehr obliegt der Herkunftsnachweis der sicherheitsleistungspflichten Person (vgl. die Urteile des Bundesgerichts 2A.356/2004 vom 6. September 2004 E. 5.2 u. 5.3 und 2A.331/2001 vom 19. September 2001 E. 2a). Gelingt ihr der Nachweis nicht, werden die Vermögenswerte zu Handen des Sicherheitskontos eingezogen. Kann der Betroffene dagegen glaubhaft darlegen, dass ihm die Vermögenswerte - beispielsweise durch Schenkung, Erbfall oder dergleichen - rechtmässig zugekommen sind, erfolgt die Einziehung nur, soweit besagte Vermögenswerte den vom Bundesrat festzusetzenden Betrag übersteigen (vgl. Art. 14 Abs. 3 AsylV2). Wird der Herkunftsnachweis nicht erbracht, so geschieht die Sicherstellung ohne Belassung eines Freibetrages (zum Ganzen vgl. auch BBl 1994 V 587).</w:t>
      </w:r>
    </w:p>
    <w:p>
      <w:r>
        <w:rPr>
          <w:b/>
        </w:rPr>
        <w:t>E. 2.3</w:t>
      </w:r>
    </w:p>
    <w:p>
      <w:r>
        <w:t>An den Nachweis der Herkunft der sichergestellten Vermögenswerte sind strenge Anforderungen zu stellen. Soweit die Herkunft nicht unmittelbar mit Dokumenten belegt werden kann, darf von der betroffenen Person verlangt werden, dass sie schon anlässlich der Abnahme im Stande ist, schlüssige, plausible und mit allfällig später nachgereichten Unterlagen übereinstimmende Angaben zu den sich bei ihr befindlichen Vermögenswerten zu machen. Blosse diesbezügliche Behauptungen genügen nicht (vgl. das Urteil des Bundesverwaltungsgerichts C-1258/2006 vom 11. Mai 2007 E. 4.2). Eng damit zusammen hängt die Frage, ob das nachträgliche Einreichen von Beweismitteln für den Nachweis der abgenommenen Vermögenswerte ausreicht, was sich aber in der Regel nicht generell, sondern bloss einzelfallweise, unter Berücksichtigung der gesamten Umstände, beantworten lässt. Davon ausgenommen sind Fälle von offensichtlichen Widersprüchen oder eindeutigen Ungereimtheiten, die ohne zusätzliche Abklärungen zum Schluss berechtigen, der geforderte Nachweis sei nicht erbracht worden.</w:t>
      </w:r>
    </w:p>
    <w:p>
      <w:r>
        <w:rPr>
          <w:b/>
        </w:rPr>
        <w:t>E. 3.1</w:t>
      </w:r>
    </w:p>
    <w:p>
      <w:r>
        <w:t>Dem von der Kantonspolizei Basel-Stadt am 26. März 2007 ausgefüllten Formular "Meldung der Abnahme von Vermögenswerten" zufolge wurde beim Beschwerdeführer an jenem Tag ein Betrag von Fr. 29'100.- sichergestellt. Bezüglich der Herkunft der Vermögenswerte gab er zu Protokoll, das Geld stamme teils vom Cousin M.V.F. aus Amerika und vom Cousin A.H. aus England, teils von Ersparnissen aus Leistungen der Sozialhilfe. Das Formular hat er nach der polizeilichen Befragung eigenhändig unterzeichnet, weshalb ohne weiteres darauf abgestellt werden darf. Nicht anders verhält es sich mit dem Rapport der Bundespolizeiinspektion Kassel vom 17. März 2007, der dem Beschwerdeführer im Rahmen des Vernehmlassungsverfahrens zur Kenntnis gebracht wurde und dessen Inhalt er nicht bestreitet.</w:t>
      </w:r>
    </w:p>
    <w:p>
      <w:r>
        <w:rPr>
          <w:b/>
        </w:rPr>
        <w:t>E. 3.2</w:t>
      </w:r>
    </w:p>
    <w:p>
      <w:r>
        <w:t>Obschon es unter den konkreten Begebenheiten (es liegen keine eigentlichen, rückübersetzten Protokolle vor, die Art der Fragestellung durch die Bundespolizeiinspektion Kassel bzw. die Kantonspolizei Basel-Stadt geht aus den Akten nicht hervor) nicht ohne weiteres zulässig wäre, dem Beschwerdeführer geringfügigere Unstimmigkeiten oder Divergenzen in seinen Aussagen entgegenzuhalten, so durfte von ihm wie angetönt (siehe die vorangehende Ziff. 2.3) erwartet werden, von Beginn weg präzise und in sich stimmige Angaben zu den fraglichen Vermögenswerten zu machen und sie - soweit möglich - später durch Beweismittel zu untermauern. Auf dem Formular "Meldung der Abnahme von Vermögenswerten" wurde er am 26. März 2007 nochmals ausdrücklich auf die diesbezüglichen Pflichten aufmerksam gemacht, spätestens ab jenem Zeitpunkt war ihm folglich bewusst, dass er gehalten war, möglichst genaue Auskünfte über die sichergestellte Summe zu erteilen. Wie sich dem Sachverhalt entnehmen lässt, präsentierte der Beschwerdeführer in Kassel, in Basel bzw. im vorliegenden Beschwerdeverfahren drei komplett unterschiedliche, sich widersprechende Darstellungen zur Herkunft des bei ihm vorgefundenen Betrages. Seither hat er weder Anstrengungen unternommen, seine Behauptungen mit entsprechenden Beweismitteln zu belegen noch lieferte er sonstige Erklärungen für die festgestellten gravierenden Unstimmigkeiten und Ungereimtheiten. Angesichts dieser eindeutigen Sachlage kann ohne weitere Beweiserhebungen davon ausgegangen werden, der Beschwerdeführer habe die Herkunft der Vermögenswerte im Sinne von Art. 86 Abs. 4 Bst. a AsylG nicht nachgewiesen.</w:t>
      </w:r>
    </w:p>
    <w:p>
      <w:r>
        <w:rPr>
          <w:b/>
        </w:rPr>
        <w:t>E. 3.3</w:t>
      </w:r>
    </w:p>
    <w:p>
      <w:r>
        <w:t>Der Vollständigkeit halber sei ergänzt, dass die fraglichen Gelder, da der Betroffene von der Sozialhilfe unterstützt wird, auch nicht aus Erwerbseinkommen stammen können, weshalb einer Sicherstellung der Betrages von Fr. 29'100.- nichts entgegensteht. Die abgenommene Summe verbleibt damit auf dem Sicherheitskonto Nr. _______; sie wird dem Kontoinhaber beim Erstellen der Schlussabrechnung gutgeschrieben und mit den rückerstattungspflichtigen Kosten verrechnet.</w:t>
      </w:r>
    </w:p>
    <w:p>
      <w:r>
        <w:rPr>
          <w:b/>
        </w:rPr>
        <w:t>E. 4</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5</w:t>
      </w:r>
    </w:p>
    <w:p>
      <w:r>
        <w:t>Bei diesem Ausgang des Verfahrens sind dem Beschwerdeführer die Kosten aufzuerlegen (Art. 63 Abs. 1 VwVG i.V.m.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