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C-4338/2008 vom 30. Dezember 2009</w:t>
      </w:r>
    </w:p>
    <w:p>
      <w:r>
        <w:t>Bundesverwaltungsgericht, 2009-12-30, DE</w:t>
      </w:r>
    </w:p>
    <w:p>
      <w:r>
        <w:rPr>
          <w:b/>
        </w:rPr>
        <w:t xml:space="preserve">Quelle: </w:t>
      </w:r>
      <w:r>
        <w:t>https://mcp.opencaselaw.ch/entscheid/bvger_C-4338_2008</w:t>
      </w:r>
    </w:p>
    <w:p>
      <w:r>
        <w:t>FR: TAF C-4338/2008 du 30 décembre 2009</w:t>
      </w:r>
    </w:p>
    <w:p>
      <w:r>
        <w:t>IT: TAF C-4338/2008 del 30 dicembre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Bundesgesetzes vom 20. Dezember 1968 über das Verwaltungsverfahren (VwVG, SR 172.021), sofern keine Ausnahme nach Art. 32 VGG vorliegt. Als Vorinstanzen gelten die in Art. 33 VGG genannten Behörden. Dazu gehört auch das BFM, das mit der Anordnung eines Einreiseverbots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Adressat der Verfügung zur Beschwerde legitimiert (Art. 48 Abs. 1 VwVG). Auf die frist- und formgerecht eingereichte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wenn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2A.451/2002 vom 28. März 2003).</w:t>
      </w:r>
    </w:p>
    <w:p>
      <w:r>
        <w:rPr>
          <w:b/>
        </w:rPr>
        <w:t>E. 3</w:t>
      </w:r>
    </w:p>
    <w:p>
      <w:r>
        <w:t>Mit dem Beitritt von Bulgarien und Rumänien am 1. Januar 2007 hat die EU ihre fünfte Erweiterungsrunde abgeschlossen. Wie bereits bei den am 1. Mai 2004 beigetretenen Staaten machte auch die Ausdehnung des Abkommens vom 21. Juni 1999 zwischen der Schweizerischen Eidgenossenschaft einerseits und der Europäischen Gemeinschaft und ihren Mitgliedsstaaten andererseits über die Freizügigkeit (FZA, SR 0.142.112.681) auf diese beiden Neumitglieder den Abschluss eines Protokolls zum FZA (Protokoll II, SR 0.142.112.681.1) erforderlich. Dieses Protokoll ist am 1. Juni 2009 in Kraft getreten, nachdem das Schweizer Volk die Weiterführung des Abkommens nach 2009 und dessen Ausdehnung auf Bulgarien und Rumänien an der Volksabstimmung vom 8. Februar 2009 angenommen hatte. Für die Zeitspanne vor dem 1. Juni 2009 kann der Beschwerdeführer deshalb aus dem FZA keine Rechte für sich ableiten.</w:t>
      </w:r>
    </w:p>
    <w:p>
      <w:r>
        <w:rPr>
          <w:b/>
        </w:rPr>
        <w:t>E. 4.1</w:t>
      </w:r>
    </w:p>
    <w:p>
      <w:r>
        <w:t>Das in Art. 67 AuG geregelte Einreiseverbot entspricht der altrechtlichen Einreisesperre von Art. 13 des Bundesgesetzes vom 26. März 1931 über Aufenthalt und Niederlassung der Ausländer (ANAG, BS 1 121). Es kann nach Art. 67 Abs. 1 AuG vom BFM gegen ausländische Personen verfügt werden, die gegen die öffentliche Sicherheit und Ordnung in der Schweiz oder im Ausland verstossen haben oder diese gefährden (Bst. a), Sozialhilfekosten verursacht haben (Bst. b), ausgeschafft worden sind (Bst. c) oder in Vorbereitungs-, Ausschaffungs- oder Durchsetzungshaft genommen werden mussten (Bst. d). Das Einreiseverbot wird befristet oder in schwerwiegenden Fällen unbefristet verfügt (Art. 67 Abs. 3 AuG). Wenn wichtige Gründe es rechtfertigen, kann die verfügende Behörde das Einreiseverbot vorübergehend aufheben (Art. 67 Abs. 4 AuG).</w:t>
      </w:r>
    </w:p>
    <w:p>
      <w:r>
        <w:rPr>
          <w:b/>
        </w:rPr>
        <w:t>E. 4.2</w:t>
      </w:r>
    </w:p>
    <w:p>
      <w:r>
        <w:t>Wie bereits die altrechtliche Einreisesperre ist das Einreiseverbot keine Sanktion für vergangenes Fehlverhalten, sondern eine Massnahme zur Abwendung einer künftigen Störung der öffentlichen Sicherheit und Ordnung (siehe Botschaft zum Bundesgesetz über die Ausländerinnen und Ausländer vom 8. März 2002, BBl 2002 3813). Die öffentliche Sicherheit und Ordnung im Sinne von Art. 67 Abs. 1 Bst. a AuG umfasst neben anderen polizeilichen Schutzgütern die Unverletzlichkeit der objektiven Rechtsordnung und der Rechtsgüter Einzelner (BBl 2002 3809; vgl. auch RAINER J. SCHWEIZER / PATRICK SUTTER / NINA WIDMER, in: RAINER J. SCHWEIZER [Hrsg.], Sicherheits- und Ordnungsrecht des Bundes, SBVR Bd. III/1, Basel 2008, Teil B Rz. 13 mit Hinweisen). In diesem Sinne liegt nach Art. 80 Abs. 1 Bst. a der Verordnung vom 24. Oktober 2007 über Zulassung, Aufenthalt und Erwerbstätigkeit (VZAE, SR 142.201) ein Verstoss gegen die öffentliche Sicherheit und Ordnung unter anderem dann vor, wenn gesetzliche Vorschriften oder behördliche Verfügungen missachtet werden. Somit kann eine Zuwiderhandlung gegen ausländerrechtliche Bestimmungen als Teil der objektiven Rechtsordnung ein Einreiseverbot nach sich ziehen, allerdings nicht als Sanktion, sondern als Massnahme zum Schutz vor künftigen Störungen (vgl. BBl 2002 3813).</w:t>
      </w:r>
    </w:p>
    <w:p>
      <w:r>
        <w:rPr>
          <w:b/>
        </w:rPr>
        <w:t>E. 5.1</w:t>
      </w:r>
    </w:p>
    <w:p>
      <w:r>
        <w:t>Gemäss (nicht rechtskräftigem) Strafbefehl vom 28. Mai 2008 wurde der Beschwerdeführer wegen rechtswidriger Einreise und rechtswidrigen Aufenthalts, Erwerbstätigkeit ohne Bewilligung sowie Förderung des rechtswidrigen Aufenthalts für schuldig gesprochen, in dem er Folgendes tat: Am 14. April 2008 reiste er von Österreich her in die Schweiz ein, ohne über das (zum damaligen Zeitpunkt) für Staatsangehörige von Bulgarien vorgeschriebene Visum zu verfügen. In der Folge hielt er sich bis zu seiner Verhaftung am 26. Mai 2008 widerrechtlich im Lande auf. Während seines Aufenthalts in der Schweiz erwarb er als selbständiger Autohändler in mindestens einem Fall einen gebrauchten LKW und liess diesen mittels Chauffeur exportieren. Zudem beherbergte er bis am 21. Mai 2008 eine am 15. April 2008 rechtswidrig in die Schweiz eingereiste Ausländerin in einer von ihm gemieteten Wohnung in Winterthur, obwohl er wusste, dass gegen diese Person eine gültige Einreisesperre besteht. Das Einspracheverfahren wurde mittlerweile sistiert, da der Beschwerdeführer nicht mehr in der Schweiz weilt. Einem Grenzkontrollrapport vom 14. Februar 2007 ist überdies zu entnehmen, der Beschwerdeführer habe sich als Schlepper betätigt, indem er zwei Ausländer mit inhaltsverfälschten Bulgarischen Reisepässen aus der Schweiz ausgefahren habe.</w:t>
      </w:r>
    </w:p>
    <w:p>
      <w:r>
        <w:rPr>
          <w:b/>
        </w:rPr>
        <w:t>E. 5.2</w:t>
      </w:r>
    </w:p>
    <w:p>
      <w:r>
        <w:t>Allgemein gilt, dass für die Verhängung eines Einreiseverbots kein vorsätzlicher Verstoss gegen fremdenpolizeiliche Bestimmungen erforderlich ist. Es genügt, wenn der ausländischen Person eine Sorgfaltspflichtverletzung zugerechnet werden kann. Unkenntnis oder Fehlinterpretation der Einreise- oder Aufenthaltsvorschriften stellen normalerweise keinen hinreichenden Grund für ein Absehen von einer Fernhaltemassnahme dar. Jeder Ausländerin und jedem Ausländer obliegt, sich über bestehende Rechte und Pflichten im Zusammenhang mit fremdenpolizeilichen Vorschriften ins Bild zu setzen und sich im Falle von Unklarheiten gegebenenfalls bei den zuständigen Stellen zu informieren (vgl. Urteil des Bundesverwaltungsgericht C-4463/2008 vom 29. April 2009 E. 5.4 mit Hinweisen). In casu wurde der Beschwerdeführer mit (nicht rechtskräftigem) Strafbefehl vom 28. Mai 2008 der rechtswidrigen Einreise und des rechtswidrigen Aufenthalts, der Erwerbstätigkeit ohne Bewilligung und der Förderung des rechtswidrigen Aufenthalts für schuldig befunden. Diese Vergehen wurden in vorsätzlicher Tatbegehung verübt (vgl. Art. 333 Abs. 1 i.V.m. Art. 10 Abs. 3 und Art. 12 Abs. 1 des Schweizerischen Strafgesetzbuchs vom 21. Dezember 1937 [StGB, SR 311.0]). Nicht massgebend ist dabei, dass es sich um einen nicht rechtskräftigen Strafbefehl handelt: Ein Einreiseverbot knüpft nicht an die Erfüllung einer Strafnorm, sondern an das Vorliegen einer Polizeigefahr an. Ob jedoch eine solche besteht und wie sie zu gewichten ist, hat die Behörde in eigener Kompetenz unter Zugrundelegung spezifisch ausländerrechtlicher Kriterien zu beurteilen. Entsprechend ist sie in der Regel nicht gehalten, den rechtskräftigen Abschluss eines Strafverfahrens abzuwarten. Ein Einreiseverbot kann - entgegen der Meinung des Beschwerdeführers - grundsätzlich auch dann ergehen, wenn ein rechtskräftiges Strafurteil fehlt, sei es weil ein Strafverfahren nicht eröffnet, noch hängig oder eingestellt wurde (vgl. Urteil des BVGer C-131/2006 vom 21. Februar 2007 E.7).</w:t>
      </w:r>
    </w:p>
    <w:p>
      <w:r>
        <w:rPr>
          <w:b/>
        </w:rPr>
        <w:t>E. 5.3</w:t>
      </w:r>
    </w:p>
    <w:p>
      <w:r>
        <w:t>In casu hat der Beschwerdeführer gegen ausländerrechtliche Vorschriften mit zentraler Bedeutung verstossen, womit die Voraussetzungen von Art. 67 Abs. 1 Bst. a AuG erfüllt sind.</w:t>
      </w:r>
    </w:p>
    <w:p>
      <w:r>
        <w:rPr>
          <w:b/>
        </w:rPr>
        <w:t>E. 6.1</w:t>
      </w:r>
    </w:p>
    <w:p>
      <w:r>
        <w:t>Waren somit entsprechende Gründe zur Verhängung einer Fernhaltemassnahme gegeben, so bleibt zu prüfen, ob das Einreiseverbot von seiner Dauer her in richtiger Ausübung des Ermessens ergangen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ULRICH HÄFELIN/GEORG MÜLLER/FELIX UHLMANN, Allgemeines Verwaltungsrecht, 5. Aufl., Zürich/Basel/Genf 2006, Rz 613 ff.).</w:t>
      </w:r>
    </w:p>
    <w:p>
      <w:r>
        <w:rPr>
          <w:b/>
        </w:rPr>
        <w:t>E. 6.2</w:t>
      </w:r>
    </w:p>
    <w:p>
      <w:r>
        <w:t>Das öffentliche Interesse an einer uneingeschränkten Einhaltung der fremdenpolizeilichen Ordnung ist ganz allgemein hoch zu veranschlagen, und es entspricht - unter dem Vorbehalt nachfolgender Erwägungen - der gängigen Praxis, wenn bei einem langanhaltenden bzw. fortgesetzten Verstoss gegen Aufenthaltsbestimmungen eine dreijährige Einreisesperre angeordnet wird. Hinweise, dass die angefochtene Massnahme gewichtige persönliche Interessen verletzt hat, sind nicht ersichtlich: Der Beschwerdeführer hat sich in seiner Rechtsmitteleingabe diesbezüglich nicht geäussert. Auch ist aus den sonstigen Akten nicht auf besonders enge persönliche oder familiäre Beziehungen in der Schweiz zu schliessen. Das am 28. Mai 2008 verfügte Einreiseverbot ist somit zu Recht ergangen.</w:t>
      </w:r>
    </w:p>
    <w:p>
      <w:r>
        <w:rPr>
          <w:b/>
        </w:rPr>
        <w:t>E. 7.1</w:t>
      </w:r>
    </w:p>
    <w:p>
      <w:r>
        <w:t>Die Bestimmungen des AuG gelten für Staatsangehörige eines Mitgliedstaates der Europäischen Gemeinschaft und ihre Familienangehörigen sowie für entsandte Arbeitnehmer nur so weit, als das FZA keine abweichende Bestimmung enthält oder dieses Gesetz günstigere Bestimmungen vorsieht (Art. 2 Abs. 2 AuG). Mit dem Inkrafttreten des Protokolls II zum FZA am 1. Juni 2009 sind die Bestimmungen des Abkommens für die neuen Mitgliedstaaten unter den in diesem Protokoll festgelegten Bedingungen ebenso verbindlich wie für die bisherigen Vertragsparteien des Abkommens (vgl. Art. 1 Abs. 2 des Protokolls II). Als bulgarischer Staatsangehöriger kann sich der Beschwerdeführer nunmehr auf die ihm durch das Abkommen vermittelten Freizügigkeitsrechte berufen, unter anderem auf das Recht zur visumsfreien Einreise (Art. 3 FZA i.V.m. Art. 1 Anhang I FZA). Allerdings gelten die Freizügigkeitsrechte nicht vorbehaltlos, sondern - wie erwähnt - unter den im Protokoll II festgelegten Bedingungen. Diese betreffen namentlich Aufenthalte von mehr als vier Monaten und weniger als einem Jahr bzw. von einem Jahr und mehr zwecks Aufnahme einer Erwerbstätigkeit, wobei Aufenthalte von weniger als vier Monaten keinen Höchstzahlen unterliegen (Art. 10 Abs. 1b FZA). Soweit das Protokoll II keinen Vorbehalt statuiert, ist der Beschwerdeführer in der Ausübung seiner Freizügigkeitsrechte nicht eingeschränkt.</w:t>
      </w:r>
    </w:p>
    <w:p>
      <w:r>
        <w:rPr>
          <w:b/>
        </w:rPr>
        <w:t>E. 7.2</w:t>
      </w:r>
    </w:p>
    <w:p>
      <w:r>
        <w:t>Die Zulässigkeit solcher nationaler Massnahmen, die - wie das Einreiseverbot gemäss Art. 67 AuG - die Ausübung von Freizügigkeitsrechten behindern, knüpft das Freizügigkeitsabkommen jedoch an die Voraussetzung, dass sie durch Gründe der öffentlichen Ordnung, Sicherheit und Gesundheit gerechtfertigt sind (Ordre-Public-Vorbehalt, vgl. Art. 5 Abs. 1 Anhang I FZA). Im Interesse einer einheitlichen Anwendung und Auslegung dieses Ordre-Public-Vorbehaltes verweist das Freizügigkeitsabkommen auf die Richtlinien 64/221/EWG, 72/194/EWG und 75/35/EWG in ihrer Fassung zum Zeitpunkt der Unterzeichnung (Art. 5 Abs. 2 Anhang I FZA) und auf die einschlägige Rechtsprechung des Gerichtshofes der Europäischen Gemeinschaften (nachfolgend EuGH) vor dem Zeitpunkt der Unterzeichnung (Art. 16 Abs. 2 FZA). In diesem Sinne schränkt das Freizügigkeitsabkommen die ausländerrechtlichen Befugnisse nationaler Behörden bei der Handhabung landesrechtlicher Massnahmen wie dem Einreiseverbot ein.</w:t>
      </w:r>
    </w:p>
    <w:p>
      <w:r>
        <w:rPr>
          <w:b/>
        </w:rPr>
        <w:t>E. 7.3</w:t>
      </w:r>
    </w:p>
    <w:p>
      <w:r>
        <w:t>Der EuGH hat in seiner Rechtssprechung regelmässig betont, dass Ausnahmen vom freien Personenverkehr restriktiv auszulegen sind. Die Berufung einer nationalen Behörde auf den Begriff der öffentlichen Ordnung setzt - wenn er Beschränkungen der Freizügigkeitsrechte rechtfertigen soll - jedenfalls voraus, dass ausser der Störung der öffentlichen Ordnung, wie sie jede Gesetzesverletzung darstellt, eine tatsächliche und hinreichend schwere Gefährdung vorliegt, die ein Grundinteresse der Gesellschaft berührt (BGE 131 II 352 E. 3.2 S. 357 f., 130 II 493 E. 3.2 S. 498 f., 130 II 176 E. 3.4.1 S. 182 ff., 129 II 215 E. 7.3 S. 222; Urteile des EuGH vom 19. Januar 1999 in der Rechtssache C-348/96, Calfa, Slg. 1999, I-11, Randnr. 23 und 25, und vom 27. Oktober 1977 in der Rechtssache 30-77, Bouchereau, Slg. 1977, 1999, Randnr. 33-35). Strafrechtliche Verurteilungen für sich allein vermögen nicht ohne weiteres eine Massnahme zu rechtfertigen, welche die Ausübung von Freizügigkeitsrechten beschränkt (Art. 3 Abs. 2 der Richtlinie 64/221/EWG). Solche Verurteilungen dürfen nur insoweit berücksichtigt werden, als die ihr zugrunde liegenden Umstände ein persönliches Verhalten erkennen lassen, das eine gegenwärtige Gefährdung der öffentlichen Ordnung darstellt. Es ist allerdings möglich, dass allein schon das vergangene Verhalten den Tatbestand einer solchen Gefährdung der öffentlichen Ordnung erfüllt (BGE 131 II 352 E. 3.2 S. 357 f., 130 II 493 E. 3.2 S. 498 f., 130 II 176 E. 3.4.1 S. 182 ff.; erwähnte Urteile des EuGH in Sachen Bouchereau, Randnr. 27.29, und Calfa, Randnr. 24). Letzteres kann beispielsweise angenommen werden, wenn die Straftat auf ein erhebliches Gewaltpotential hinweist und hierfür eine unbedingte Freiheitsstrafe verhängt wurde.</w:t>
      </w:r>
    </w:p>
    <w:p>
      <w:r>
        <w:rPr>
          <w:b/>
        </w:rPr>
        <w:t>E. 7.4</w:t>
      </w:r>
    </w:p>
    <w:p>
      <w:r>
        <w:t>Vor diesem Hintergrund stellen die am 14. Februar 2007 in einem Grenzkontrollrapport festgestellte angebliche Schleppertätigkeit sowie das Verhalten des Beschwerdeführers, welches zum Strafbefehl vom 28. Mai 2008 führte, zwar keine Bagatelldelikte, aber dennoch verhältnismässig geringfügige Vergehen dar, welche nicht auf eine aktuelle Gefährdung der öffentlichen Ordnung im Sinne des Freizügigkeitsabkommens schliessen lässt.</w:t>
      </w:r>
    </w:p>
    <w:p>
      <w:r>
        <w:rPr>
          <w:b/>
        </w:rPr>
        <w:t>E. 8</w:t>
      </w:r>
    </w:p>
    <w:p>
      <w:r>
        <w:t>Aus diesen Erwägungen folgt, dass die Beschwerde teilweise gutzuheissen und die Dauer der verhängten Fernhaltemassnahme auf den Zeitpunkt des Inkrafttretens des Protokolls II zum FZA zu beschränken ist. Das Einreiseverbot ist somit in Anpassung an die neue Rechtslage per 31. Mai 2009 als beendet zu erklären. Somit unterliegt der Beschwerdeführer im heutigen Zeitpunkt keiner Fernhaltemassnahme mehr.</w:t>
      </w:r>
    </w:p>
    <w:p>
      <w:r>
        <w:rPr>
          <w:b/>
        </w:rPr>
        <w:t>E. 9.1</w:t>
      </w:r>
    </w:p>
    <w:p>
      <w:r>
        <w:t>In Anwendung von Art. 63 Abs. 1 VwVG sind dem Beschwerdeführer die Verfahrenskosten von Fr. 700.- aufzuerlegen. Eine anteilsmässige Reduktion der Verfahrenskosten im Verhältnis zum Obsiegen erscheint nicht gerechtfertigt, da die inzwischen geänderte Rechtslage (Inkrafttreten des Protokolls II) zur Herabsetzung der Dauer des Einreiseverbots führt.</w:t>
      </w:r>
    </w:p>
    <w:p>
      <w:r>
        <w:rPr>
          <w:b/>
        </w:rPr>
        <w:t>E. 9.2</w:t>
      </w:r>
    </w:p>
    <w:p>
      <w:r>
        <w:t>Gestützt auf Art. 64 VwVG i.V.m. Art. 7 ff. des Reglements vom 21. Februar 2008 über die Kosten und Entschädigungen vor dem Bundesverwaltungsgericht (VGKE, SR 173.320.2) ist der (teilweise) obsiegenden Partei zu Lasten der Vorinstanz eine angemessene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