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C-4332/2011 vom 13. März 2012</w:t>
      </w:r>
    </w:p>
    <w:p>
      <w:r>
        <w:t>Bundesverwaltungsgericht, 2012-03-13, IT</w:t>
      </w:r>
    </w:p>
    <w:p>
      <w:r>
        <w:rPr>
          <w:b/>
        </w:rPr>
        <w:t xml:space="preserve">Quelle: </w:t>
      </w:r>
      <w:r>
        <w:t>https://mcp.opencaselaw.ch/entscheid/bvger_C-4332_2011</w:t>
      </w:r>
    </w:p>
    <w:p>
      <w:r>
        <w:t>FR: TAF C-4332/2011 du 13 mars 2012</w:t>
      </w:r>
    </w:p>
    <w:p>
      <w:r>
        <w:t>IT: TAF C-4332/2011 del 13 marzo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LTF. In particolare, le decisioni in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 2.Ai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w:t>
      </w:r>
    </w:p>
    <w:p>
      <w:r>
        <w:rPr>
          <w:b/>
        </w:rPr>
        <w:t>E. 3.1</w:t>
      </w:r>
    </w:p>
    <w:p>
      <w:r>
        <w:t>In primo luogo A._______ ha rilevato di essere entrato in Svizzera in modo regolare poiché a beneficio del passaporto biometrico rilasciato dalle autorità del Montenegro.</w:t>
      </w:r>
    </w:p>
    <w:p>
      <w:r>
        <w:rPr>
          <w:b/>
        </w:rPr>
        <w:t>E. 3.2</w:t>
      </w:r>
    </w:p>
    <w:p>
      <w:r>
        <w:t>In proposito va rilevato che 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Ciò posto, le condizioni d'entrata previste dal codice frontiere Schengen corrispondono essenzialmente a quelle di cui all'art. 5 cpv. 1 della legge federale del 16 dicembre 2005 sugli stranieri (LStr, RS 142.20). L'art. 5 cpv. 2 LStr esige inoltre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 Infine in qualità di Paese dello spazio Schengen, la Svizzera applica parimenti il Regolamento n. 539/2001 del Consiglio del 15 marzo 2001 (GU L 81 del 21 marzo 2001), il cui art. 1 § 2 indica che i cittadini dei paesi terzi menzionati allegato II, sono esentati dall'obbligo di visto per l'attraversamento all'atto di attraversamento delle frontiere esterne degli Stati Schengen. In particolare a seguito dell'entrata in vigore del Regolamento (CE) n. 1244/2009, modificante il Regolamento (CE) n. 539/2001, i cittadini montenegrini titolari di un passaporto biometrico sono esentati dall'obbligo di visto (Regolamento CE n. 539/2001, Allegato 1 lettera B).</w:t>
      </w:r>
    </w:p>
    <w:p>
      <w:r>
        <w:rPr>
          <w:b/>
        </w:rPr>
        <w:t>E. 3.3</w:t>
      </w:r>
    </w:p>
    <w:p>
      <w:r>
        <w:t>Ciò detto, dagli atti di causa non si evince in alcun modo che il ricorrente beneficiasse di un passaporto biometrico. Va detto tuttavia, in ogni caso, che i cittadini montenegrini che desiderano esercitare un'attività lucrativa, anche inferiore a 8 giorni in un anno, sottostanno all'obbligo di visto (cfr. Ufficio federale della migrazione: http://www.bfm.admin.ch/ content/bfm/it/home/dokumentation/rechtsgrundlgen/weisungen_und_kreisschreiben/visa/liste1_staatsangehoerigkeit/m.html).</w:t>
      </w:r>
    </w:p>
    <w:p>
      <w:r>
        <w:rPr>
          <w:b/>
        </w:rPr>
        <w:t>E. 4.1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208/115/Ce] RU 2010 5925 e FF 2009 7737).</w:t>
      </w:r>
    </w:p>
    <w:p>
      <w:r>
        <w:rPr>
          <w:b/>
        </w:rPr>
        <w:t>E. 4.2</w:t>
      </w:r>
    </w:p>
    <w:p>
      <w:r>
        <w:t>Conformemente al nuovo art. 67 cpv. 2 LStr, l'UFM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 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 In proposito va detto che i reati perpetrati contro le norme del diritto degli stranieri, rappresentano delle violazioni di legge e possono dunque in quanto tali condurre all'emissione di un divieto d'entrata (cfr. Messaggio precitato FF 2002 pag. 3429).</w:t>
      </w:r>
    </w:p>
    <w:p>
      <w:r>
        <w:rPr>
          <w:b/>
        </w:rPr>
        <w:t>E. 5.1</w:t>
      </w:r>
    </w:p>
    <w:p>
      <w:r>
        <w:t>Giusta l'art. 11 cpv. 1 LStr, lo straniero che intende esercitare un'attività lucrativa in Svizzera necessita di un permesso indipendentemente dalla durata del soggiorno. Il permesso va richiesto all'autorità competente per il luogo di lavoro previsto. È considerata attività lucrativa, poco importa se svolta a titolo gratuito od oneroso, qualsiasi attività dipendente o indipendente normalmente esercitata dietro compenso (art. 11 cpv. 2 LStr). Lo straniero che necessita di un permesso di soggiorno di breve durata, di dimora o di domicilio deve notificarsi presso l'autorità competente per il luogo di residenza in Svizzera prima della scadenza del soggiorno esente da permesso o prima di iniziare un'attività lucrativa (art. 12 cpv. 1 LStr).</w:t>
      </w:r>
    </w:p>
    <w:p>
      <w:r>
        <w:rPr>
          <w:b/>
        </w:rPr>
        <w:t>E. 5.2</w:t>
      </w:r>
    </w:p>
    <w:p>
      <w:r>
        <w:t>Con decreto d'accusa del 16 maggio 2011, cresciuto in giudicato, la Procura pubblica del Cantone Ticino ha riconosciuto il ricorrente colpevole di soggiorno illegale nel periodo 18 - 27.1.2011 prima del richiesto permesso di soggiorno, durante il quale peraltro egli ha svolto un'attività lucrativa abusiva come operaio.</w:t>
      </w:r>
    </w:p>
    <w:p>
      <w:r>
        <w:rPr>
          <w:b/>
        </w:rPr>
        <w:t>E. 5.3</w:t>
      </w:r>
    </w:p>
    <w:p>
      <w:r>
        <w:t>Nel proprio ricorso A._______ ha indicato di non aver prestato alcuna attività lavorativa in Svizzera poiché, "su richiesta di uno dei cittadini locali" (cfr. ricorso pag. 1), avrebbe prestato i propri servigi esclusivamente a titolo gratuito. Va tuttavia rilevato che se da una parte il ricorrente ha indicato di non aver svolto alcuna attività lavorativa dietro compenso, d'altra parte egli non ha inoltrato alcun ricorso al decreto di accusa in cui lo si reputava colpevole di attività lucrativa abusiva poiché non a beneficio di alcun permesso.</w:t>
      </w:r>
    </w:p>
    <w:p>
      <w:r>
        <w:rPr>
          <w:b/>
        </w:rPr>
        <w:t>E. 5.4</w:t>
      </w:r>
    </w:p>
    <w:p>
      <w:r>
        <w:t>Ora, l'attività quale operaio svolta dal ricorrente sul cantiere di Biasca, è da considerare un'attività lucrativa dipendente giusta i combinati disposti degli art. 11 cpv. 2 LStr e art. 1a cpv. 1 OASA, per la quale poco importa se svolta a titolo gratuito od oneroso, in quanto normalmente esercitata dietro compenso, e per la quale è necessario disporre di un permesso valido. Ne consegue che il ricorrente privo di permesso ha violato il diritto degli stranieri (art. 115 cpv. 1 let. c LStr). 6.Come già più sopra ricordato l'art. 80 cpv. 1 let. a OASA statuisce che vi è violazione della sicurezza e dell'ordine pubblici in caso di mancato rispetto di prescrizioni di legge e di decisione dell'autorità. In particolare i reati perpetrati contro le norme del diritto degli stranieri, rappresentano delle violazioni di legge e possono dunque in quanto tali condurre all'emissione di un divieto d'entrata (cfr. Messaggio precitato FF 2002 pag. 3429). Ciò detto, e considerato che A._______ non ha avuto il comportamento che è giustificato attendersi da ogni straniero che desidera soggiornare in questo paese, il divieto di entrata pronunciato dall'UFM appare giustificato. 7.Essendo la decisione di divieto d'entrata in Svizzera confermata nel suo principio, resta ora da stabilire se la durata della misura di allontanamento adottata dall'UFM, prevista per un periodo di 3 anni, è adeguata alle circostanze del caso concreto (cfr. art. 49 lett. c PA). 7.1 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 7.2 Nella fattispecie il ricorrente non ha contestato l'esercizio di un'attività sul cantiere a Biasca, rispettivamente il non aver ottenuto il permesso di soggiorno durante tale periodo. In proposito va detto che le infrazioni di cui si è reso protagonista A._______ rivestono un carattere di gravità certo in quanto sono espressamente sanzionate dalle disposizioni penali di cui all'art. 115 cpv. 1 let a, b e c LStr. Entrando, soggiornando e lavorando in modo illegale in Svizzera egli ha quindi indiscutibilmente violato le normative in materia di diritto degli stranieri, reati per i quali l'art. 80 cpv. 1 let. a OASA prescrive che vi è conseguente violazione della sicurezza e dell'ordine pubblici, e per i quali possono esserci quale conseguenza l'emissione del divieto d'entrata sul territorio svizzero (cfr. Messaggio precitato FF 2002 pag. 3429).Tenuto conto dell'insieme degli elementi oggettivi e soggettivi della causa, il Tribunale ritiene quindi che l'interesse pubblico all'allontanamento del ricorrente dalla Svizzera prevale su quello privato di quest'ultimo ad entrarvi, interesse peraltro nemmeno allegato e sostanziato in modo adeguato con il ricorso in esame. Di conseguenza, da una corretta valutazione degli interessi pubblici e privati in gioco, emerge che il divieto d'entrata di 3 anni appare proporzionato ed adeguato alle circostanze del caso concreto (art. 49 lett. c PA). 8.Ne discende che l'UFM con la decisione del 29 giugno 2011 non ha violato il diritto federale, né abusato del suo potere di apprezzamento; l'autorità di prime cure non ha accertato in modo inesatto o incompleto i fatti giuridicamente rilevanti ed inoltre la decisione non è inadeguata (art. 49 PA); per questi motivi il ricorso va respinto. 9.Visto l'esito della procedura, le spese processuali restano a carico del ricorrente (art. 63 cpv. 1 PA in relazione con gli art. 1-3 del regolamento del 21 febbraio 2008 sulle tasse e sulle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