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C-4331/2008 vom 10. November 2009</w:t>
      </w:r>
    </w:p>
    <w:p>
      <w:r>
        <w:t>Bundesverwaltungsgericht, 2009-11-10, DE</w:t>
      </w:r>
    </w:p>
    <w:p>
      <w:r>
        <w:rPr>
          <w:b/>
        </w:rPr>
        <w:t xml:space="preserve">Quelle: </w:t>
      </w:r>
      <w:r>
        <w:t>https://mcp.opencaselaw.ch/entscheid/bvger_C-4331_2008</w:t>
      </w:r>
    </w:p>
    <w:p>
      <w:r>
        <w:t>FR: TAF C-4331/2008 du 10 novembre 2009</w:t>
      </w:r>
    </w:p>
    <w:p>
      <w:r>
        <w:t>IT: TAF C-4331/2008 del 10 novembre 2009</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Die Beschwerdeführerin ist österreichische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 entgegen der Ansicht der Beschwerdeführerin -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das Verhältnis zwischen den übrigen EU-Mitgliedstaaten und der Schweiz) nicht der Fall ist. Gemäss Art. 40 der Verordnung Nr. 574/72 hat der Träger eines Mitgliedstaates aber - wie dies die IV-Stelle getan hat - bei der Bemessung des Invaliditätsgrades die von den Trägern der anderen Staaten erhaltenen ärztlichen Unterlagen und Berichte sowie Auskünfte der Verwaltung zu berücksichtigen soweit sie rechtsgenüglich ins Verfahren eingebracht werden (vgl. Art. 32 VwVG).</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In materiell-rechtlicher Hinsicht ist pro rata temporis auf jene Bestimmungen des IVG und der IVV abzustellen, die für die Beurteilung eines Rentenanspruchs jeweils relevant waren und in Kraft standen. Vorliegend ist deshalb einerseits auf die Fassung gemäss den am 1. Januar 2004 in Kraft getretenen Änderungen (4. IV-Revision) sowie auf die per 1. Januar 2008 eingeführten Änderungen (5. IV-Revision) abzustellen.</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w:t>
      </w:r>
    </w:p>
    <w:p>
      <w:r>
        <w:rPr>
          <w:b/>
        </w:rPr>
        <w:t>E. 3.5.1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3.5.2</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3.6.1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EVG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EVG vom 20. März 2006 [I 655/05] E. 5.4 mit Hinweisen; vgl. aber Urteil des Bundesgerichts vom 27. Mai 2008 [9C_24/2008] E. 2.3.2, publiziert in: Plädoyer 2009 S. 72 ff.).</w:t>
      </w:r>
    </w:p>
    <w:p>
      <w:r>
        <w:rPr>
          <w:b/>
        </w:rPr>
        <w:t>E. 3.6.2</w:t>
      </w:r>
    </w:p>
    <w:p>
      <w:r>
        <w:t>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EVG vom 19. Juni 2006 [I 236/2006] E. 3.2 mit Hinweisen). Auch wenn bei den im Ausland wohnenden Versicherten mangels geeigneten Abklärungspersonen keine Haushaltabklärung (im Sinne einer Abklärung an Ort und Stelle gemäss Art. 69 Abs. 2 IVG) durchgeführt werden kann, muss die Beurteilung einer Beeinträchtigung im Haushalt nach analogen Grundsätzen erfolgen (vgl. Urteil des Bundesverwaltungsgerichts vom 16. März 2009 [C-5131/2007] E. 4.2.5). Ob eine solche Abklärung dann im einzelnen Fall genügt, ist anhand der konreten Verhältnisse zu entscheiden.</w:t>
      </w:r>
    </w:p>
    <w:p>
      <w:r>
        <w:rPr>
          <w:b/>
        </w:rPr>
        <w:t>E. 3.7</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 Ebenso ist der Versicherte gehalten, im Rahmen des Möglichen und Zumutbaren Verfahrensweisen zu entwickeln, welche die Auswirkungen seiner Behinderung im hauswirtschaftlichen Aufgabenbereich reduzieren und ihm eine möglichst vollständige und unabhängige Erledigung der Haushaltsarbeiten ermöglichen. Kann er wegen seiner Behinderung gewisse dieser Arbeiten nur noch mühsam und mit viel höherem Zeitaufwand erledigen, so muss er in erster Linie seine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w:t>
      </w:r>
    </w:p>
    <w:p>
      <w:r>
        <w:rPr>
          <w:b/>
        </w:rPr>
        <w:t>E. 3.8</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Mitgliedstaaten der EU der Fall ist.</w:t>
      </w:r>
    </w:p>
    <w:p>
      <w:r>
        <w:rPr>
          <w:b/>
        </w:rPr>
        <w:t>E. 3.9</w:t>
      </w:r>
    </w:p>
    <w:p>
      <w:r>
        <w:t>Der Rentenanspruch nach Artikel 28 entsteht frühestens in dem Zeitpunkt, in dem der Versicherte mindestens zu 40 Prozent bleibend erwerbsunfähig (Art. 7 ATSG) geworden ist (Art. 29 Abs. 1 lit. a IVG [4. IV-Revision]) oder während eines Jahres ohne wesentlichen Unterbruch durchschnittlich mindestens zu 40 Prozent arbeitsunfähig (Art. 6 ATSG) gewesen war (Art. 29 Abs. 1 lit. b IVG [4. IV-Revision]). Anspruch auf eine Rente haben Versicherte, die ihre Erwerbsfähigkeit oder die Fähigkeit, sich im Aufgabenbereich zu betätigen, nicht durch zumutbare Eingliederungsmassnahmen wieder herstellen, erhalten oder verbessern können (Art. 28 Abs. 1 lit. a IVG [5. IV-Revision]); während eines Jahres ohne wesentlichen Unterbruch durchschnittlich mindestens 40 Prozent arbeitsunfähig (Art. 6 ATSG) gewesen sind (Art.28 Abs. 1 lit. b IVG [5.IV-Revision]); und nach Ablauf dieses Jahres zu mindestens 40 Prozent invalid (Art. 8 ATSG) sind (Art. 28 Abs. 1 lit. c IVG [5. Revision]).</w:t>
      </w:r>
    </w:p>
    <w:p>
      <w:r>
        <w:rPr>
          <w:b/>
        </w:rPr>
        <w:t>E. 3.10</w:t>
      </w:r>
    </w:p>
    <w:p>
      <w:r>
        <w:t>Anspruch auf eine ordentliche Rente haben gemäss Art. 36 Abs. 1 IVG (4. IV-Revision) die rentenberechtigten Versicherten, die bei Eintritt der Invalidität während mindestens eines vollen Jahres Beiträge an die schweizerische Sozialversicherung geleistet haben.</w:t>
      </w:r>
    </w:p>
    <w:p>
      <w:r>
        <w:rPr>
          <w:b/>
        </w:rPr>
        <w:t>E. 4</w:t>
      </w:r>
    </w:p>
    <w:p>
      <w:r>
        <w:t>Nachfolgend ist zu prüfen, ob die IV-Stelle das Leistungsbegehren der Beschwerdeführerin zu Recht abgewiesen hat.</w:t>
      </w:r>
    </w:p>
    <w:p>
      <w:r>
        <w:rPr>
          <w:b/>
        </w:rPr>
        <w:t>E. 4.1</w:t>
      </w:r>
    </w:p>
    <w:p>
      <w:r>
        <w:t>Dem ärztlichen Gesamtgutachten von Dr. med. B._______, Facharzt für Innere Medizin, vom 11. Juni 2007, welches sich auf die Untersuchung desselben vom 21. Mai 2007 sowie auf die Untersuchung von Dr. med. C._______, Facharzt für Orthopädie und orthopädische Chirurgie, vom 22. Mai 2007 stützt, sind folgende Diagnosen zu entnehmen: Aus orthopädischer Sicht bestünden keine Einschränkungen der linken Hüfte. Der Oberarmumfang auf der rechten Seite sei gegenüber der anderen Seite um 1-1,5 cm reduziert, wobei bei der Kraftprüfung das Anspannen des Muskelbauchs in Ordnung sei. Es bestehe der Verdacht auf ein Karpaltunnelsyndrom. Im Bereich der Lendenwirbelsäule bestehe ein Wirbelgleiten, welches im Segment L5/S1 auf der Basis einer Lyse, im Segment L4/L5 durch Bandscheibendegeneration sowie insuffiziente Facettengelenke entstanden sei. Aus internistischer Sicht sei ein arterieller Hypertonus festzustellen, welcher medikamentös vermutlich nicht ausreichend kontrolliert werde. Anhaltspunkte für allfällige Folgeerkrankungen bestünden jedoch keine. Insgesamt erachten die Gutachter die Beschwerdeführerin in leichten Tätigkeiten mit wechselnder Körperhaltung als vollschichtig arbeitsfähig.</w:t>
      </w:r>
    </w:p>
    <w:p>
      <w:r>
        <w:rPr>
          <w:b/>
        </w:rPr>
        <w:t>E. 4.2</w:t>
      </w:r>
    </w:p>
    <w:p>
      <w:r>
        <w:t>Dr. med. D._______, Facharzt für Orthopädie und orthopädische Chirurgie, dipl. Sportarzt, stellt in seinem Gutachten vom 29. August 2007 im Wesentlichen dieselben Diagnosen, wie sie bereits im Gesamtgutachten (vgl. Ziffer 4.1 hievor) gestellt wurden. Er stellt jedoch zusätzlich eine Coxarthrose rechts mit deutlicher Gelenksspaltverschmälerung fest. Auf die Einschätzung der Arbeitsfähigkeit hat diese Abweichung der Diagnosestellung keinen Einfluss, da auch er der Ansicht ist, die Beschwerdeführerin könne vollschichtig einer leichten und wechselbelastenden Tätigkeit nachgehen.</w:t>
      </w:r>
    </w:p>
    <w:p>
      <w:r>
        <w:rPr>
          <w:b/>
        </w:rPr>
        <w:t>E. 4.3</w:t>
      </w:r>
    </w:p>
    <w:p>
      <w:r>
        <w:t>Gestützt auf die Gutachten der Dres. B._______, C._______ und D._______ hat Dr. med. E._______, RAD-Arzt, den Schlussbericht des RAD Rhone verfasst. Als Hauptdiagnose nennt er ein chronisches Lumbovertebralsyndrom. Als Nebendiagnosen stellt er einen Status nach einer Bizepssehnenruptur rechts mit operativer Versorgung sowie eine Coxarthrose links mit Status nach Endoprothesenoperation fest. Schliesslich weist er auf die bestehende Hypertonie hin, die jedoch keinen Einfluss auf die Arbeitsfähigkeit habe. Aufgrund dieser Diagnosen kommt er zum Schluss, die Beschwerdeführerin sei seit Dezember 2005 in der bisherigen Tätigkeit im Gastgewerbe zu 30%, für Tätigkeiten im Haushalt zu 16% und in einer angepassten Tätigkeit zu 20% arbeitsunfähig. Zur Begründung führte er aus, infolge der belastungsabhängigen Glieder- und Rückenschmerzen seien der Beschwerdeführerin keine schweren Arbeiten mehr zumutbar. Als Serviertochter komme daher am ehesten ein Einsatz in einem kleinen, überschaubaren Betrieb in Frage, wo sie keine langen Wege zurücklegen müsse. Im Haushalt bestehe überdies ebenfalls eine Einschränkung, da sie die schweren Arbeiten nicht mehr verrichten könne. Man könne davon ausgehen, dass die Einschränkungen seit Dezember 2005 (Kuraufenthalt) bestünden. Insgesamt sei in einer leichten und angepassten Tätigkeit (zum Beispiel im Detailhandel [Verkäuferin, Kassierin] oder einfache Tätigkeiten in der Verwaltung [Telefonistin, Datenerfassung, Archivierung]) von einer vollschichtigen Arbeitsfähigkeit mit verminderter Leistung auszugehen. In Bezug auf die Einschränkung im Haushalt ist Dr. med. E._______ davon ausgegangen, die Beschwerdeführerin sei in der Wohnungspflege, welche insgesamt einen Anteil von 15% der Haushaltsarbeiten ausmache, zu 30%, in der Wäsche und Kleiderpflege (bei einem Anteil von 15%) ebenfalls zu 30% und in Diversem (bei einem Anteil von 28%) zu 20% eingeschränkt. Dies entspreche schliesslich insgesamt einer Einschränkung von 16%.</w:t>
      </w:r>
    </w:p>
    <w:p>
      <w:r>
        <w:rPr>
          <w:b/>
        </w:rPr>
        <w:t>E. 4.4.1</w:t>
      </w:r>
    </w:p>
    <w:p>
      <w:r>
        <w:t>Die von der IV-Stelle berücksichtigten Gutachten kommen im Wesentlichen zum gleichen Schluss: Die Beschwerdeführerin sei zwar in einem gewissen Mass gesundheitlich eingeschränkt, sie sei aber durchaus in der Lage, einer leichten und wechselbelastenden Erwerbstätigkeit nachzugehen. Die Gutachten sind gestützt auf die Vorakten, die geklagten Beschwerden und objektive Befunde erstellt worden. Sie sind ferner widerspruchsfrei und schlüssig und entsprechen somit den von der Rechtsprechung entwickelten qualitativen Anforderungen an Gutachten, weshalb darauf abzustellen ist.</w:t>
      </w:r>
    </w:p>
    <w:p>
      <w:r>
        <w:rPr>
          <w:b/>
        </w:rPr>
        <w:t>E. 4.4.2</w:t>
      </w:r>
    </w:p>
    <w:p>
      <w:r>
        <w:t>Das von der Beschwerdeführerin mit der Beschwerde eingereichte Kurzattest von Dr. med. F._______, Facharzt für Orthopädie, vom 20. Juni 2008 bescheinigt der Beschwerdeführerin das Vorliegen einer ausgeprägten mehretagigen Bandscheibenabnützung im Bereich der Halswirbelsäule, einen Zustand nach Hüfttotalendoprothese links, schwere Abnützungserscheinungen der rechten Hüfte sowie einen Zustand nach Acromioplastik beide Schultern. In diesem Attest wird weder dargelegt, wie diese (zum Teil von den anderen Gutachten abweichenden) Diagnosen ermittelt wurden, noch wird nachvollziehbar und begründet ausgeführt, welche Einschränkungen sich daraus ergeben sollen. Ähnliches gilt für das Kurzattest von Dr. med. D._______ vom 18. Dezember 2008: Auch hier werden lediglich die Diagnosen wiederholt, aber es wird in keinerlei Hinsicht begründet, inwiefern diese Diagnosen zu einer grösseren als der in den anderen Gutachten festgestellten Arbeitsunfähigkeit führen sollen. Er führt auch nicht aus, wieso er in diesem Kurzattest von seiner eigenen Einschätzung im ausführlichen Gutachten vom 29. August 2007 abweicht. Die beiden nachträglich eingereichten Atteste sind somit zu unpräzise und legen nicht in genügender Art und Weise dar, inwiefern die anderen Gutachten nicht zutreffend sein sollten. Sie vermögen keinen Zweifel an der Richtigkeit der anderen Gutachten aufkommen zu lassen, weshalb nicht auf sie abzustellen ist. Der Vollständigkeit halber ist schliesslich noch festzuhalten, dass auch das nach Erlass der Verfügung bei der IV-Stelle eingegangene ausführliche Gutachten von Dr. med. G._______, Facharzt für Neurologie und Psychiatrie, Arzt für psychosoziale und psychotherapeutische Medizin, vom 11. September 2007 (act. 26) im Wesentlichen die bereits von den anderen Ärzten gestellten Diagnosen bestätigt und zum Schluss kommt, die Beschwerdeführerin sei in leichten und wechselbelastenden Tätigkeiten voll arbeitsfähig, weshalb auch dieses Gutachten lediglich die bereits gewürdigten Gutachten bestätigt, jedoch keinerlei neuen Sachverhaltselemente einbringt, die am Ergebnis etwas ändern könnten.</w:t>
      </w:r>
    </w:p>
    <w:p>
      <w:r>
        <w:rPr>
          <w:b/>
        </w:rPr>
        <w:t>E. 4.4.3</w:t>
      </w:r>
    </w:p>
    <w:p>
      <w:r>
        <w:t>Vorliegend hat die Beschwerdeführerin angegeben, sie habe bis zum 31. März 2006 während 25 Stunden pro Woche als Servicemitarbeiterin gearbeitet. Diese Stelle habe sie jedoch wegen Betriebsauflösung aufgeben müssen. Aus der Zusammenstellung der zurückgelegten Versicherungszeiten des österreichischen Versicherungsträgers ist ersichtlich, dass die Beschwerdeführerin seit 1988 in Österreich gearbeitet und teilweise Arbeitslosengeld bezogen hat. Im April 2006 hat die Beschwerdeführerin Krankengeld und vom Mai 2006 bis zum März 2007 Arbeitslosengeld bezogen. Ferner ist dem schweizerischen individuellen Kontoauszug zu entnehmen, dass die Beschwerdeführerin auch in den Jahren zuvor (vor 1988) jeweils in der Schweiz einer (Teilzeit-)Erwerbstätigkeit nachgegangen ist. Es ist daher anzunehmen, dass sie ohne gesundheitliche Einschränkung weiterhin im bisherigen Umfang von 25 Stunden pro Woche als Servicemitarbeiterin und die restliche Zeit im Haushalt gearbeitet hätte. Gemäss bundesgerichtlicher Rechtsprechung ist demnach vorliegend die Invaliditätsbemessung anhand der gemischten Methode vorzunehmen. Diese von der IV-Stelle angewandte Berechnungsmethode wird von der Beschwerdeführerin zu Recht nicht beanstandet.</w:t>
      </w:r>
    </w:p>
    <w:p>
      <w:r>
        <w:rPr>
          <w:b/>
        </w:rPr>
        <w:t>E. 4.4.4</w:t>
      </w:r>
    </w:p>
    <w:p>
      <w:r>
        <w:t>Die Ermittlung der Einschränkung im Haushalt wurde - wie bei Versicherten im Ausland üblich - lediglich gestützt auf die Angaben der Beschwerdeführerin im Fragebogen für die im Haushalt tätigen Versicherten und unter Berücksichtigung der gesundheitlichen Defizite der Beschwerdeführerin, aber ohne Abklärung an Ort und Stelle, durchgeführt. Die einzelnen Tätigkeiten wurden aufgrund der von der Beschwerdeführerin geschilderten örtlichen und infrastrukturmässigen Verhältnisse vernünftig gewichtet und das Ergebnis korrekt ermittelt. Obwohl dieses Vorgehen somit nicht in allen Punkten den von der Rechtsprechung (für Versicherte in der Schweiz) entwickelten Kriterien genügt, ergibt sich aus den Akten kein Grund, nicht auf die Abklärung abzustellen, da diese sorgfältig durchgeführt wurde und auch die Beschwerdeführerin deren Ergebnisse nicht bestreitet.</w:t>
      </w:r>
    </w:p>
    <w:p>
      <w:r>
        <w:rPr>
          <w:b/>
        </w:rPr>
        <w:t>E. 4.4.5</w:t>
      </w:r>
    </w:p>
    <w:p>
      <w:r>
        <w:t>Die bei der Beschwerdeführerin festgestellten Einschränkungen führen somit zu einer durchschnittlichen Arbeitsunfähigkeit während eines Jahres im (bisherigen) erwerblichen Bereich von 30% (in einer angepassten Verweistätigkeit sogar nur 20%) und im Haushalt von 16%, somit deutlich weniger als die erforderlichen 40%, weshalb die gesetzlichen Voraussetzungen für die Entstehung eines Rentenanspruches nicht erfüllt sind. Zusammenfassend ist somit festzuhalten, dass die IV-Stelle gestützt auf die ausführlichen und widerspruchsfreien Gutachten zu Recht davon ausgegangen ist, dass bei der Beschwerdeführerin keine rentenbegründende Invalidität vorliegt, weshalb das Leistungsbegehren abzuweisen war. Die Beschwerde ist somit abzuweisen und die angefochtene Verfügung zu bestätigen.</w:t>
      </w:r>
    </w:p>
    <w:p>
      <w:r>
        <w:rPr>
          <w:b/>
        </w:rPr>
        <w:t>E. 5.1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die Beschwerdeführerin unterlegen ist, hat sie die Verfahrenskosten zu tragen. Diese sind nach dem Verfahrensaufwand und unabhängig vom Streitwert im Rahmen von 200-1'000 Franken festzulegen (Art. 69 Abs. 1bis IVG). Für das vorliegende Verfahren sind die Verfahrenskosten auf Fr. 400.-- festzusetzen. Sie sind mit dem geleisteten Kostenvorschuss von Fr. 400.-- zu verrechnen.</w:t>
      </w:r>
    </w:p>
    <w:p>
      <w:r>
        <w:rPr>
          <w:b/>
        </w:rPr>
        <w:t>E. 5.2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5.3</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