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C-4329/2011 vom 14. März 2012</w:t>
      </w:r>
    </w:p>
    <w:p>
      <w:r>
        <w:t>Bundesverwaltungsgericht, 2012-03-14, FR</w:t>
      </w:r>
    </w:p>
    <w:p>
      <w:r>
        <w:rPr>
          <w:b/>
        </w:rPr>
        <w:t xml:space="preserve">Quelle: </w:t>
      </w:r>
      <w:r>
        <w:t>https://mcp.opencaselaw.ch/entscheid/bvger_C-4329_2011</w:t>
      </w:r>
    </w:p>
    <w:p>
      <w:r>
        <w:t>FR: TAF C-4329/2011 du 14 mars 2012</w:t>
      </w:r>
    </w:p>
    <w:p>
      <w:r>
        <w:t>IT: TAF C-4329/2011 del 14 marzo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 Il est utile de préciser préliminairement que le Tribunal ne peut examiner que les rapports de droit sur lesquels l'autorité administrative compétente s'est prononcée sous la forme d'une décision, laquelle détermine l'objet de la contestation (cf. notamment ATF 134 V 418 consid. 5.2.1, 133 II 35 consid. 2, 131 V consid. 2.1; ATAF 2010/5 consid. 2), à savoir en l'occurrence l'interdiction d'entrée prononcée par l'ODM le 26 juillet 2011. La conclusion formulée par le recourant, en tant qu'elle vise à lui octroyer un "droit de séjour" en Suisse (cf. mémoire de recours, p. 2), n'est donc point recevable in casu; elle l'est d'autant moins que l'octroi d'une autorisation de séjour relève de la compétence primaire de l'autorité cantonale (cf. art 40 al. 1 en relation avec les art. 32 et ss LEtr). A titre préalable également, il convient de constater que A._______, en tant que ressortissant nigérian, n'est pas citoyen de l'un des Etats membres de la Communauté européenne (CE), de sorte que nonobstant la production d'une copie d'un "PERMISO DE RESIDENCIA" espagnol au nom de B._______, il n'y a pas lieu de vérifier si la mesure d'éloignement prononcée contre lui le 26 juillet 2011 est conforme à l'ALCP ou à l'OLCP, comme le requiert le recourant dans son pourvoi (cf. mémoire de recours, p. 3).</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et la jurisprudence citée).</w:t>
      </w:r>
    </w:p>
    <w:p>
      <w:r>
        <w:rPr>
          <w:b/>
        </w:rPr>
        <w:t>E. 3</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 1 de la LEtr) et ayant fait l'objet d'une interdiction d'entrée sont en principe inscrites aux fins de non admission dans le Système d'information Schengen (ci-après: SIS; cf. sur le sujet art. 92 ss CAAS). En conséquence, elles se verront refuser l'entrée dans l'Espace Schengen (cf. art. 32 par. 1 let. a en relation avec l'art. 21 par. 3 let. c du Règlement [CE] n° 810/2009 du Parlement européen et du Conseil du 13 juillet 2009 établissant un code communautaire des visas [code des visas, JO L 243 du 15 septembre 2009 pp. 12 et 15]). Dans le cas d'espèce, il appert que l'ODM n'a pas prévu que la décision d'interdiction d'entrée du 26 juillet 2011 entraînerait une publication dans le Système d'Information Schengen (SIS) ayant pour conséquence d'étendre ses effets à l'ensemble du territoire des Etats Schengen. Il s'ensuit que l'intéressé, qui prétend résider dans un Etat de l'Union européen et être titulaire d'une carte de séjour délivrée par les autorités espagnoles (cf. mémoire de recours, p. 2), ne se verrait pas interdire l'accès au territoire de l'Espagne en raison du prononcé de l'ODM; cela d'autant moins que le titre de séjour dont se prévaut l'intéressé ne correspond pas à l'identité mentionnée dans la décision querellée.</w:t>
      </w:r>
    </w:p>
    <w:p>
      <w:r>
        <w:rPr>
          <w:b/>
        </w:rPr>
        <w:t>E. 4.1</w:t>
      </w:r>
    </w:p>
    <w:p>
      <w:r>
        <w:t>Aux termes de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(cf. art. 80 al. 2 OASA). Selon le Message précité (cf. p. 3568), l'interdiction d'entrée permet d'empêcher l'entrée ou le retour d'un étranger dont le séjour en Suisse est indésirable. Elle n'est pas considérée comme une peine sanctionnant un comportement déterminé, mais une mesure ayant pour but de prévenir une atteinte à la sécurité et à l'ordre publics.</w:t>
      </w:r>
    </w:p>
    <w:p>
      <w:r>
        <w:rPr>
          <w:b/>
        </w:rPr>
        <w:t>E. 4.3</w:t>
      </w:r>
    </w:p>
    <w:p>
      <w:r>
        <w:t>En application de l'art. 81 OASA, les autorités cantonales peuvent déposer une demande auprès de l'ODM afin qu'il ordonne une interdiction d'entrée.</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 Rudin/ Hugi Yar/ Geiser [éd.], Ausländerrecht, 2ème éd., Bâle 2009, ch. 8.80 p. 356).</w:t>
      </w:r>
    </w:p>
    <w:p>
      <w:r>
        <w:rPr>
          <w:b/>
        </w:rPr>
        <w:t>E. 5</w:t>
      </w:r>
    </w:p>
    <w:p>
      <w:r>
        <w:t>En l'occurrence, l'ODM a prononcé contre A._______ une décision d'interdiction d'entrée en Suisse d'une durée d'un an, en retenant d'une part que l'intéressé avait subi deux condamnations pénales durant son séjour en Suisse, l'une le 20 avril 2010 pour falsification de documents, l'autre le 14 janvier 2010 pour contravention à la LStup. D'autre part, l'autorité inférieure a motivé sa décision par le fait que l'intéressé s'était légitimé lors d'un contrôle à Bienne au moyen d'un passeport nigérian valable, libellé au nom de B._______, ainsi que d'une carte de résidant espagnole correspondante, et qu'il avait ainsi induit en erreur les autorités helvétiques en déposant sa demande d'asile (en octobre 2008) sous une fausse identité. Aussi a-t-elle estimé que A._______ avait à travers son comportement porté atteinte à la sécurité et l'ordre publics, au sens de l'art. 67 LEtr, et qu'il ne pouvait se prévaloir d'aucun intérêt privé qui aurait pu contrebalancer l'intérêt public contraire visant à contrôler ses futures entrées sur le territoire suisse. Le recourant ne contestant nullement dans son pourvoi les faits qui ont été retenus contre lui par l'autorité inférieure, il y a lieu de considérer qu'il remplit les conditions d'application de l'art. 67 al. 2 let. a LEtr.</w:t>
      </w:r>
    </w:p>
    <w:p>
      <w:r>
        <w:rPr>
          <w:b/>
        </w:rPr>
        <w:t>E. 6</w:t>
      </w:r>
    </w:p>
    <w:p>
      <w:r>
        <w:t>Il reste encore à examiner si la mesure d'éloignement prise par l'ODM satisfait aux principes de la proportionnalité et de l'égalité de traitement.</w:t>
      </w:r>
    </w:p>
    <w:p>
      <w:r>
        <w:rPr>
          <w:b/>
        </w:rPr>
        <w:t>E. 6.1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 cit.).</w:t>
      </w:r>
    </w:p>
    <w:p>
      <w:r>
        <w:rPr>
          <w:b/>
        </w:rPr>
        <w:t>E. 6.2</w:t>
      </w:r>
    </w:p>
    <w:p>
      <w:r>
        <w:t>L'interdiction d'entrée prononcée à l'endroit de A._______ est une mesure administrative de contrôle qui tend à le tenir éloigné de Suisse, où il a commis des infractions pénales et où il a déposé une demande d'asile sous une fausse identité. Il en va de l'intérêt de l'Etat à voir respectés l'ordre établi et la législation en vigueur (cf. arrêt du Tribunal de céans C-5479/2008 du 24 juillet 2009 consid. 6.2.2). Les infractions reprochées à l'intéressé revêtent donc une certaine gravité. Dans la mesure où il apparaît que A._______ ne peut pas se prévaloir d'attaches familiales ou personnelles avec la Suisse, l'intérêt privé de celui-ci à pouvoir se déplacer librement en ce pays ne saurait, dans ces conditions, être considéré comme prépondérant par rapport à l'intérêt public à son éloignement.Au vu de l'ensemble des éléments objectifs et subjectifs de la cause, le Tribunal estime que l'interdiction d'entrée en Suisse prononcée par l'autorité inférieure, limitée dans le temps jusqu'au 27 juillet 2012, est adéquate et que sa durée, fixée à un an, respecte entièrement le principe de proportionnalité. Par ailleurs, cette mesure n'est pas contraire au principe d'égalité de traitement, au regard des décisions prises par les autorités dans des cas analogues.</w:t>
      </w:r>
    </w:p>
    <w:p>
      <w:r>
        <w:rPr>
          <w:b/>
        </w:rPr>
        <w:t>E. 7</w:t>
      </w:r>
    </w:p>
    <w:p>
      <w:r>
        <w:t>Il ressort de ce qui précède que, par sa décision du 26 juillet 2011, l'ODM n'a ni violé le droit fédéral, ni constaté des faits pertinents de manière inexacte ou incomplète; en outre, cette décision n'est pas inopportune (art. 49 PA). Le recours est en conséquence rejeté dans la mesure où il est recevable. Du fait du présent arrêt, la demande d'effet suspensif est sans objet. Vu l'issue de la cause, les frais de procédure sont mis à la charge du recourant (art.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