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C-4328/2015 vom 25. Oktober 2017</w:t>
      </w:r>
    </w:p>
    <w:p>
      <w:r>
        <w:t>Bundesverwaltungsgericht, 2017-10-25, FR</w:t>
      </w:r>
    </w:p>
    <w:p>
      <w:r>
        <w:rPr>
          <w:b/>
        </w:rPr>
        <w:t xml:space="preserve">Quelle: </w:t>
      </w:r>
      <w:r>
        <w:t>https://mcp.opencaselaw.ch/entscheid/bvger_C-4328_2015</w:t>
      </w:r>
    </w:p>
    <w:p>
      <w:r>
        <w:t>FR: TAF C-4328/2015 du 25 octobre 2017</w:t>
      </w:r>
    </w:p>
    <w:p>
      <w:r>
        <w:t>IT: TAF C-4328/2015 del 25 ottobre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droit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et les références). Lors d'un changement de législation durant la période déterminante, le droit éventuel à des prestations se détermine selon l'ancien droit pour la période antérieure et selon le nouveau dès ce moment-là (application pro rata temporis; ATF 130 V 445, voir aussi l'arrêt du TF 8C_870/2012 du 8 juillet 2013 consid. 2.2). Dans le cas concret, vu l'accident du 8 août 2011, la demande du 19 mars 2012 et la date de la décision attaquée (qui est une première décision), les dispositions dans leur teneur au 8 août 2011et les modifications jusqu'au 9 juin 2015 sont déterminantes.</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l'intéressée est une ressortissante suisse (depuis 2004) résidant en France, soit dans un Etat membre de l'Union européenne (AI pce 26, p. 1-2 et pce 27). Ainsi, les dispositions légales de droit suisse en vigueur dans leur teneur au moment de la décision attaquée, soit au 9 juin 2015, sont applicables y compris les changements législatifs intervenus durant cette période ; cf. ATF 130 V 445, voir aussi arrêt du Tribunal fédéral 8C_870/2012 du 8 juillet 2013 consid. 2.2 .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in casu.</w:t>
      </w:r>
    </w:p>
    <w:p>
      <w:r>
        <w:rPr>
          <w:b/>
        </w:rPr>
        <w:t>E. 2.4</w:t>
      </w:r>
    </w:p>
    <w:p>
      <w:r>
        <w:t>Par ailleurs, le Tribunal administratif fédéral se fondera sur l'état de fait, y compris l'état de santé de l'intéressée jusqu'au jour de la décision, soit au 9 juin 2015. Les éléments de fait postérieurs à cette date ne devant, en principe, pas être pris en considération sauf s'ils permettent une meilleure compréhension de l'état de santé de l'intéressée antérieur à la décision attaquée (ATF 130 V 445, consid. 5 ; ATF 129 V 1 consid. 1.2 ; ATF 121 V 362 consid. 1b ; voir également arrêts du Tribunal administratif fédéral C-31/2013 du 14 janvier 2014, consid. 3.1 et C-1121/2014, consid. 2.3).</w:t>
      </w:r>
    </w:p>
    <w:p>
      <w:r>
        <w:rPr>
          <w:b/>
        </w:rPr>
        <w:t>E. 3</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La recourante a versé des cotisations à l'AVS/AI pendant plus de 3 ans et une année au moins de cotisations peut être comptabilisé en Suisse (voir ci-dessus faits A. et extrait du compte individuel ; AI pce 5 page 1-5). Elle remplit donc la condition de la durée minimale de cotisations.</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Le délai d'attente selon l'art. 28 al. 1 let. b LAI est réputé avoir commencé dès qu'il a été possible de constater une incapacité de travail de 20% (Jurisprudence et pratique administrative des autorités d'exécution de l'AVS/AI [VSI] 1998 p. 126 consid. 3c).</w:t>
      </w:r>
    </w:p>
    <w:p>
      <w:r>
        <w:rPr>
          <w:b/>
        </w:rPr>
        <w:t>E. 4.3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l'accord entre la Suisse et la Communauté européenne et ses Etats membres sur la libre circulation des personnes du 21 juin 1999 (ALCP, RS 0.142.112.681),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w:t>
      </w:r>
    </w:p>
    <w:p>
      <w:r>
        <w:t>In casu, la question litigieuse est le bien-fondé de la décision du 9 juin 2015, par laquelle l'OAIE a octroyé à la recourante une rente entière d'invalidité du 1er septembre 2012 au 31 janvier 2013 et un quart de rente d'invalidité à compter du 1er février 2013.</w:t>
      </w:r>
    </w:p>
    <w:p>
      <w:r>
        <w:rPr>
          <w:b/>
        </w:rPr>
        <w:t>E. 5.1</w:t>
      </w:r>
    </w:p>
    <w:p>
      <w:r>
        <w:t>Les parties s'accordent sur le fait que la recourante ne peut plus exercer l'activité habituelle d'aide-soignante. Par contre, leurs avis divergent concernant la capacité de travail dans une autre activité. L'OAIE considère qu'une activité plus légère physiquement est possible à plein temps et sans baisse de rendement dès le mois de novembre 2012, tandis que la recourante estime que ses douleurs et sa perte de motricité l'empêchent de reprendre une activité lucrative quelle qu'elle soit. L'objet du litige est donc la question de savoir à quelle rente d'invalidité la recourante a droit après le 31 janvier 2013.</w:t>
      </w:r>
    </w:p>
    <w:p>
      <w:r>
        <w:rPr>
          <w:b/>
        </w:rPr>
        <w:t>E. 5.2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5.3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6.3</w:t>
      </w:r>
    </w:p>
    <w:p>
      <w:r>
        <w:t>Dans un arrêt du 28 juin 2011 (ATF 137 V 210), le Tribunal fédéral a retenu que le recours à des bases de décision médicales fournies par des instituts externes comme les centres d'observation médicale de l'AI (COMAI) et leur utilisation dans la procédure judiciaire sont en eux-mêmes conformes au droit constitutionnel puisque ces centres garantissent la neutralité et l'objectivité requises. Suite à cette nouvelle jurisprudence du Tribunal fédéral, l'art. 72bis RAI a été modifié. Depuis le 1er mars 2012, les expertises comprenant trois ou plus de trois disciplines médicales doivent se dérouler auprès d'un centre d'expertises médicales lié à l'office fédéral par une convention (art. 72bis al. 1 RAI). L'attribution du mandat d'expertise doit se faire de manière aléatoire (art. 72bis al. 2 RAI).</w:t>
      </w:r>
    </w:p>
    <w:p>
      <w:r>
        <w:rPr>
          <w:b/>
        </w:rPr>
        <w:t>E. 7.1</w:t>
      </w:r>
    </w:p>
    <w:p>
      <w:r>
        <w:t>Le dossier AI contient de nombreux rapports et certificats des médecins traitants, à savoir principalement du Dr C._______ et des Hôpitaux L._______, ainsi que deux expertises du Dr D._______ qui a été mandaté par l'assureur accidents, l'Office AI n'ayant pas ordonné lui-même d'expertise médicale. Par contre, le dossier AI ne contient pas l'expertise pluridisciplinaire du G._______ également mandaté par l'assureur accidents. L'OAIE ne semble pas avoir connaissance de cette expertise. En effet, il a rendu son projet de décision le 23 janvier 2015, soit le jour où a eu lieu l'expertise du G._______. Après l'opposition de la recourante qui ne disposait visiblement pas non plus du rapport d'expertise du G._______ puisque ce rapport n'a été établi que le 24 avril 2015, l'OAI-GE a clos l'instruction du cas, confirmé son projet de décision et prié la Caisse suisse de compensation par courrier du 4 mars 2015 (AI pce 102) de préparer le calcul des prestations et de notifier la décision. Dans sa prise de position du 29 septembre 2015 annexée à la réponse de l'OAIE du 6 octobre 2015, l'OAI-GE mentionne que l'assureur accidents a procédé à de nombreux examens médicaux, notamment une expertise auprès du Dr D._______, par contre, il ne mentionne pas l'expertise du G._______. La prise de position du SMR du 29 janvier 2016 annexée à la duplique contient une liste des principaux documents médicaux, notamment les deux expertises du Dr D._______ et les nouveaux rapports des Hôpitaux L._______ joints à la réplique, mais pas l'expertise du G._______.</w:t>
      </w:r>
    </w:p>
    <w:p>
      <w:r>
        <w:rPr>
          <w:b/>
        </w:rPr>
        <w:t>E. 7.2</w:t>
      </w:r>
    </w:p>
    <w:p>
      <w:r>
        <w:t>Dans leur rapport d'expertise pluridisciplinaire du 24 avril 2015 avec volets orthopédique et psychiatrique (dossier accident pce 165), les experts du G._______ ont retenu les diagnostics suivants : fracture type A2.2 de D12 avec cyphose constituée après un traitement conservateur de 24°, arthrose postérieure sur les segments adjacents à la fracture, spondylarthrose L4-L5 et L5-S1, cervicarthrose C4-5-6 discrète, dysthymie (F43.1). Ils ont noté que la cyphose avait progressé de 13° à 24° entre le bilan post-traumatique et le dernier bilan, qu'il y avait donc eu un tassement secondaire significatif, que la discopathie L4-L5 et L5-S1 était déjà présente au moment de l'accident, mais que l'étiologie de l'affection en cause était principalement secondaire au traumatisme et que la cyphose et l'arthrose postérieure étaient la conséquence du traumatisme. Etant donné que l'expertise du G._______ a été mandatée par l'assureur accidents, les experts se sont aussi exprimés sur les facteurs étrangers à l'accident du 8 août 2011 et ont relevé que l'arthrose lombaire préexistante jouait un rôle dans l'évolution des douleurs qui auraient pu probablement apparaître également sans le traumatisme, d'où l'estimation de ces facteurs à 20%. Les experts du G._______ ont estimé que la recourante présentait une incapacité totale de travail dans l'activité habituelle d'aide-soignante, mais que des activités légères avec changement fréquent de position, port de charges limitées à 5 kg, pas de mouvements en rotation, pas de position assise de longue durée restaient possibles à temps partiel. Ils ont retenu un taux de capacité de travail de 40% dans une telle activité adaptée à cause de la déformation structurelle post traumatique du rachis, du déséquilibre et des douleurs que la cyphose séquellaire provoque. De plus, ils ont précisé que leur estimation de la capacité de travail dans une activité légère ne tenait compte que des seules suites de l'accident et que les suites de l'accident étaient stabilisées depuis le bilan de janvier 2013.</w:t>
      </w:r>
    </w:p>
    <w:p>
      <w:r>
        <w:rPr>
          <w:b/>
        </w:rPr>
        <w:t>E. 7.3</w:t>
      </w:r>
    </w:p>
    <w:p>
      <w:r>
        <w:t>Contrairement à l'expertise du G._______, le Dr D._______, dans son expertise du 21 mai 2014 (AI pce 81 pages 2 à 18), a considéré que la recourante pouvait mettre en valeur dès cette date une pleine capacité de travail (horaire et rendement) dans une activité adaptée respectant les limitations fonctionnelles. Il faut noter que ce médecin, pour son estimation, s'est basé sur les radiographies de novembre 2012 qui montraient une cyphose de 13°, alors que le rapport d'expertise du G._______ mentionne une cyphose qui a progressé de 13° à 24°. De plus, le Dr D._______ ne disposait apparemment pas non plus de la densitométrie du 15 mai 2013 lors de son expertise effectuée le 21 mai 2014. L'expert ne disposant pas de tous les rapports médicaux établis jusqu'alors, cette expertise ne paraît pas fondée. Or, l'OAIE s'est basé sur la deuxième expertise du Dr D._______ pour rendre sa décision du 9 juin 2015 puisqu'il n'avait pas connaissance de l'expertise du G._______ du 23 janvier 2015.</w:t>
      </w:r>
    </w:p>
    <w:p>
      <w:r>
        <w:rPr>
          <w:b/>
        </w:rPr>
        <w:t>E. 7.4</w:t>
      </w:r>
    </w:p>
    <w:p>
      <w:r>
        <w:t>Avec sa réplique, la recourante a produit trois nouveaux rapports, à savoir deux rapports des Hôpitaux L._______ des 24 juillet (du Dr I._______, PD, Département de Médecine interne, Service de Rhumatologie) et 13 novembre 2015 (du Dr J._______, chef de Clinique, Département de Santé Mentale et de Psychiatrie) et un rapport de la Dresse H._______ du 27 juillet 2015 (TAF pce 13) qui s'expriment aussi sur la situation avant la décision attaquée du 9 juin 2015. Dans sa prise de position du 29 janvier 2016 jointe à la duplique, la Dresse K._______ du SMR a remarqué que ces documents convergeaient dans le sens d'importantes limitations subjectives et d'une capacité de travail très réduite voire nulle. Même si cette médecin remarque qu'aucun de ces documents n'apporte d'éléments objectifs permettant de justifier une capacité de travail nulle dans toute activité, on ne voit pas la raison pour laquelle elle confirme les conclusions précédentes, à savoir une pleine capacité (horaire et rendement) dans une activité adaptée selon la deuxième expertise du Dr D._______. En outre, la Dresse K._______ indique qu'aucun des trois médecins n'a suivi la recourante sur le long terme. Cette remarque est inexacte puisque que la recourante est en traitement auprès du Dr I._______ de longue date.</w:t>
      </w:r>
    </w:p>
    <w:p>
      <w:r>
        <w:rPr>
          <w:b/>
        </w:rPr>
        <w:t>E. 7.5</w:t>
      </w:r>
    </w:p>
    <w:p>
      <w:r>
        <w:t>D'une part, le Tribunal administratif fédéral constate que des données indiquent que l'état de santé de la recourante s'est aggravé entre la deuxième expertise du Dr D._______ et la date de la décision attaquée, que l'expertise du Dr D._______ a été établie sans connaissance complète du dossier et qu'on ne peut donc pas se baser sur le rapport du Dr D._______. D'autre part, le Tribunal de céans considère qu'on ne peut pas non plus se baser sur l'expertise du G._______ parce qu'elle ne prend en compte que les suites de l'accident puisqu'elle a été effectuée sur mandat de l'assureur accidents. De plus, les avis des experts divergent quant à l'appréciation de la capacité de travail dans une activité adaptée. Et diverses dates (novembre 2012, janvier 2013 et mai 2014) sont mentionnées, à partir desquelles la recourante a retrouvé une capacité (partielle) de travail. Dans la présente procédure, il s'agit de déterminer l'état de santé global de la recourante, ce qui, en l'état actuel du dossier, n'est pas possible. C'est pourquoi, le Tribunal administratif fédéral considère que la mise en oeuvre d'une nouvelle expertise pluridisciplinaire avec au moins des volets orthopédique et psychiatrique s'impose. Au cas où la recourante faisait valoir d'autres troubles, il faudra aussi tenir compte de ceux-ci lors de l'expertise afin d'éviter un nouveau renvoi de la cause à l'autorité inférieure. A ce propos, il convient de préciser que les experts mandatés doivent eux-mêmes veiller à ce que les éléments sur lesquels ils se basent soient exacts et complets (ATF 139 V 349 consid. 3.2 et suivant).</w:t>
      </w:r>
    </w:p>
    <w:p>
      <w:r>
        <w:rPr>
          <w:b/>
        </w:rPr>
        <w:t>E. 7.6</w:t>
      </w:r>
    </w:p>
    <w:p>
      <w:r>
        <w:t>L'art. 61 al. 1 PA autorise, bien qu'exceptionnellement, à renvoyer la cause à l'autorité inférieure avec des instructions impératives, notamment lorsqu'elle n'a nullement instruit une question déterminante pour l'examen du droit aux prestations ou qu'un éclaircissement, une précision ou un complément des indications des experts est nécessaire (ATF 137 V 210 consid. 4.4.1.4). Dans le cas d'espèce, un renvoi à l'autorité inférieure est licite puisque l'autorité inférieure n'a nullement procédé à un examen complet de l'état de santé de la recourante, mais s'est contentée de se baser sur le dossier (incomplet) de l'assureur accidents.</w:t>
      </w:r>
    </w:p>
    <w:p>
      <w:r>
        <w:rPr>
          <w:b/>
        </w:rPr>
        <w:t>E. 7.7</w:t>
      </w:r>
    </w:p>
    <w:p>
      <w:r>
        <w:t>Vu l'avis unanime des médecins qui se sont prononcé dans ce cas que l'activité habituelle n'est plus exigible et que seule la capacité résiduelle de travail dans une activité de substitution est à déterminer, le renvoi de la cause à l'autorité inférieure ne risque pas d'entraîner pour la recourante une péjoration de la situation (reformation in peius) dans laquelle elle a été placée par la décision querellée ; dès lors, il n'est pas nécessaire de lui donner la possibilité de se déterminer sur un éventuel retrait du recours (ATF 137 V 314, consid. 3.2.4).</w:t>
      </w:r>
    </w:p>
    <w:p>
      <w:r>
        <w:rPr>
          <w:b/>
        </w:rPr>
        <w:t>E. 7.8</w:t>
      </w:r>
    </w:p>
    <w:p>
      <w:r>
        <w:t>En outre, l'autorité inférieure devra examiner si la recourante est à même de se réinsérer dans le circuit professionnel par elle-même et si sa capacité (résiduelle) de travail est exploitable, en particulier vu son âge et l'essai infructueux de réinsertion.</w:t>
      </w:r>
    </w:p>
    <w:p>
      <w:r>
        <w:rPr>
          <w:b/>
        </w:rPr>
        <w:t>E. 7.9</w:t>
      </w:r>
    </w:p>
    <w:p>
      <w:r>
        <w:t>Au vu de ce qui précède, il convient d'admettre le recours de la recourante, d'annuler la décision attaquée concernant les prestations à compter du 1er février 2013 et de renvoyer la cause à l'OAIE afin que celui-ci procède à un complément d'instruction et rende ensuite une nouvelle décision.</w:t>
      </w:r>
    </w:p>
    <w:p>
      <w:r>
        <w:rPr>
          <w:b/>
        </w:rPr>
        <w:t>E. 8.1</w:t>
      </w:r>
    </w:p>
    <w:p>
      <w:r>
        <w:t>Compte tenu de l'issue de la cause, il n'est pas perçu de frais de procédure (art. 63 PA) et le montant de CHF 400.- versé par la recourante à titre d'avance de frais lui est restitué.</w:t>
      </w:r>
    </w:p>
    <w:p>
      <w:r>
        <w:rPr>
          <w:b/>
        </w:rPr>
        <w:t>E. 8.2</w:t>
      </w:r>
    </w:p>
    <w:p>
      <w:r>
        <w:t>L'art. 64 al. 1 PA et l'art. 7 du règlement du 21 février 2008 concernant les frais, dépens et indemnités fixés par le Tribunal administratif fédéral (FITAF, RS 173. 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équitable d'allouer à la recourante une indemnité à titre de dépens fixée à CHF 800.- (frais compris; cf. art. 9 al. 1 let. c FITAF), à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