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C-4326/2011 vom 27. Juli 2012</w:t>
      </w:r>
    </w:p>
    <w:p>
      <w:r>
        <w:t>Bundesverwaltungsgericht, 2012-07-27, IT</w:t>
      </w:r>
    </w:p>
    <w:p>
      <w:r>
        <w:rPr>
          <w:b/>
        </w:rPr>
        <w:t xml:space="preserve">Quelle: </w:t>
      </w:r>
      <w:r>
        <w:t>https://mcp.opencaselaw.ch/entscheid/bvger_C-4326_2011</w:t>
      </w:r>
    </w:p>
    <w:p>
      <w:r>
        <w:t>FR: TAF C-4326/2011 du 27 juillet 2012</w:t>
      </w:r>
    </w:p>
    <w:p>
      <w:r>
        <w:t>IT: TAF C-4326/2011 del 27 luglio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concernenti il coordinamento dei sistemi di sicurezza sociale in vigore dal 1° aprile 2012 fra la Svizzera e gli Stati membri dell'UE,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x...... 2011, data del compimento del 65esimo anno di età e della conseguente nascita del diritto ad una rendita dell'assicurazione svizzera per la vecchiaia (art. 30 LAI).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L'assicurato, dopo il rimpatrio, ha lavorato in proprio, come istallatore di impianti elettrici civili ed industriali, dal 1979 al 1984 e dal gennaio 1994 al 30 aprile 2006 (doc. 20, cifra 2). Egli avrebbe ridotto il suo impegno professionale dal 2001 per motivi di salute a 25 ore alla settimana (invece di 40, doc. 20 cifra 4 e seg.) ed ha definitivamente cessato il lavoro indipendente alla data surriferita. Risulta poi che A._______ ha lavorato per conto terzi dal 12 maggio al 10 novembre 2006 (doc. 19 cifra 3). L'Ufficio AI non ha tuttavia istruito tale situazione lavorativa in quanto, sembra, che il datore di lavoro avrebbe chiuso per fallimento (doc. 21). Non è dato a sapere nemmeno di che tipo di lavoro si trattasse.</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fattispecie, l'interessato, ora 66enne, lamenta più patologie. Egli è affetto da un deficit visivo dal 1974 (in seguito a trauma lavorativo) con conseguente visione spenta in OD e visione progressivamente ridotta in OS a causa di una malattia consistente in una sclerosi vascolare e corioretinica (cfr. il sintetico referto oftalmologico 8 febbraio 2011, doc. 56); dal punto di vista polmonare vi è un deficit restrittivo che secondo la prima spirometria (novembre 2009) e gli E 213 (doc. 32, 49) è molto grave ed è collegato ad affanno e dispnea anche con sforzi di lieve entità, secondo un esame spirometrico del febbraio 2011 è di grado moderato (doc. 55); esiti di frattura somatica di D12, esiti di rottura del corpo posteriore del menisco mediale; artrosi polidistrettuale con impegno funzionale (cfr. perizia medica particolareggiata, E 213, del 10 giugno 2010 (doc. 33 = doc. 49).</w:t>
      </w:r>
    </w:p>
    <w:p>
      <w:r>
        <w:rPr>
          <w:b/>
        </w:rPr>
        <w:t>E. 10.1</w:t>
      </w:r>
    </w:p>
    <w:p>
      <w:r>
        <w:t>Per quanto concerne le conseguenze invalidanti delle menzionate affezioni, il servizio medico dell'INPS attesta un tasso d'invalidità del totale (100%). Già può essere osservato che l'E 213 è stato svolto in modo poco attendibile. Da una parte, come detto, si pone un tasso d'invalidità totale, dall'altra si sostiene che l'interessato può svolgere il suo ultimo lavoro a tempo pieno (cfr. per esempio doc. 49, che è una fotocopia del doc. 33). Da questa perizia non si ricavano determinanti motivazioni. Dal canto suo, il Dott. Lehmann, dell'UAIE, più volte chiamato a pronunciarsi sulla documentazione esibita nelle varie fasi della procedura, ha sempre ribadito che A._______ non presenterebbe un'invalidità di rilievo nell'ambito del suo precedente lavoro od altra simile attività, se non nella misura limitata del 20%.</w:t>
      </w:r>
    </w:p>
    <w:p>
      <w:r>
        <w:rPr>
          <w:b/>
        </w:rPr>
        <w:t>E. 10.2</w:t>
      </w:r>
    </w:p>
    <w:p>
      <w:r>
        <w:t>Lo scrivente Tribunale considera che l'istruttoria non è stata adeguatamente svolta.</w:t>
      </w:r>
    </w:p>
    <w:p>
      <w:r>
        <w:rPr>
          <w:b/>
        </w:rPr>
        <w:t>E. 10.2.1</w:t>
      </w:r>
    </w:p>
    <w:p>
      <w:r>
        <w:t>Già per quel che concerne la patologia oculistica gli atti sono manifestamente insufficienti. Nell'incarto esiste solo uno scarno e poco chiaro referto oftalmologico dell'8 febbraio 2011 (doc. 56). Questo certificato non traccia alcuna anamnesi per cui non è dato a sapere se in questi ultimi anni, l'acuità visiva di A._______, già compromessa dalla metà degli anni settanta in seguito ad infortunio (visione occhio destro spenta), sia ulteriormente peggiorata per la presenza di una malattia ingravescente all'occhio sinistro, circostanza o co-circostanza che, eventualmente, ha condotto l'interessato a cessare il lavoro di elettrotecnico. L'Ufficio AI avrebbe dovuto pretendere un referto più dettagliato, tanto più che l'affezione oftalmica è la prima menzionata dal sanitario dell'INPS.</w:t>
      </w:r>
    </w:p>
    <w:p>
      <w:r>
        <w:rPr>
          <w:b/>
        </w:rPr>
        <w:t>E. 10.2.2</w:t>
      </w:r>
    </w:p>
    <w:p>
      <w:r>
        <w:t>Dal punto di vista pneumologico, l'istruttoria non è migliore. È verosimile, in base alla scarsa documentazione esibita, che l'insufficienza respiratoria di tipo restrittivo, attraversi delle fasi molto acute (doc. 32) e altri fasi di relativa remissione (doc. 55). Manca dunque un dettagliato rapporto d'esame pneumologico che tracci la storia clinica di questa patologia. Il medico dell'UAIE non può, sulla scorta di un solo esame relativamente poco patologico (spirometria, doc. 55), affermare che l'affezione in atto non è invalidante, poiché ad atti sussiste un altro esame dello stesso tipo (doc. 32) con risultati opposti. Parimenti, il sanitario dell'UAIE, con la nota del 20 dicembre 2010 (doc. 35, pag- 1-3), aveva chiesto espressamente "ein korrekt ausgefülltes E-213", notizie circa il consumo eventuale di tabacco, la terapia in corso, una spirometria, un'emogasanalisi. Come tutta risposta l'INPS ha inviato la fotocopia dell'E 213 già ad atti (doc. 33 = doc. 49) ed altra documentazione già esibita, salvo una nuova spirometria. Ora, su questa base, questo collegio giudicante non può condividere il successivo giudizio del Dott. Lehmann.</w:t>
      </w:r>
    </w:p>
    <w:p>
      <w:r>
        <w:rPr>
          <w:b/>
        </w:rPr>
        <w:t>E. 10.2.3</w:t>
      </w:r>
    </w:p>
    <w:p>
      <w:r>
        <w:t>Anche dal punto di vista ortopedico l'istruttoria è carente. Esistono esami oggettivi risalenti a novembre 2005 o più vecchi ancora (RM, Rx). Manca un dettagliato rapporto d'esame ortopedico di recente esecuzione che riferisca in merito alle limitazioni funzionali di origine ortopedica. Anche in questo caso non può essere escluso che una concausa della cessazione dell'attività lucrativa nel 2006 sia da ascrivere a limitazione funzionali dell'apparato locomotorio/articolare. Non può essere sottaciuto che il lavoro di impiantista elettrico è impegnativo e richiede quasi sempre delle posizioni di lavoro non ergonomiche. Da quel poco che si può leggere alla cifra 4.8 dell'E 213 (doc.33, 49), risulta che il paziente presenta una limitazione funzionale nella flesso-estensione pari ad ½, una limitazione funzionale dei movimenti globali delle spalla pari ad ¼ ed un deficit della flessione delle ginocchia di 1/3. In queste circostanze, si potrebbe anche comprendere che A._______ abbia rinunciato al suo lavoro di impiantista elettrico per problemi di questo genere.</w:t>
      </w:r>
    </w:p>
    <w:p>
      <w:r>
        <w:rPr>
          <w:b/>
        </w:rPr>
        <w:t>E. 10.3</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11.1</w:t>
      </w:r>
    </w:p>
    <w:p>
      <w:r>
        <w:t>Ora, fatte queste considerazioni, il collegio giudicante si trova nell'impossibilità di determinare la misura dell'eventuale modifica dell'incapacità di lavoro e di guadagno subita dall'interessato e da quando questa modifica esisterebbe.</w:t>
      </w:r>
    </w:p>
    <w:p>
      <w:r>
        <w:rPr>
          <w:b/>
        </w:rPr>
        <w:t>E. 11.2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11.3</w:t>
      </w:r>
    </w:p>
    <w:p>
      <w:r>
        <w:t>L'UAIE dovrà quindi completare l'istruttoria delucidando la situazione medica per il periodo dal novembre 2006 (cessazione definitiva dell'attività lucrativa), fino al compimento del 65esimo anno di età (x.______ 2011; cfr. consid. 5). L'UAIE emanerà poi un nuovo provvedimento impugnabile. A tale fine il ricorrente dovrà essere sottoposto ad una perizia approfondita pluridisciplinare in pneumologia, ortopedia ed oftalmologia ed a tutti quegli esami clinici/strumentali che il caso richiede.</w:t>
      </w:r>
    </w:p>
    <w:p>
      <w:r>
        <w:rPr>
          <w:b/>
        </w:rPr>
        <w:t>E. 11.4</w:t>
      </w:r>
    </w:p>
    <w:p>
      <w:r>
        <w:t>Se del caso, l'amministrazione effettuerà poi un'indagine comparativa dei redditi, tenendo presente, se l'eventualità si prospetta, della prassi e della giurisprudenza in vigore quando si tratti di esaminare la nozione d'attività ragionevolmente esigibile per le persone che si trovano in età avanzata al momento della cessazione del precedente lavoro. Brevemente può essere osservato che non si può parlare d'attività ragionevolmente esigibile quando questa sarebbe realizzabile solo in forma e con modalità talmente ristrette da non esistere in un mercato del lavoro equilibrato oppure con delle condizioni/limitazioni mediche tali da rendere irreperibile un datore di lavoro. Ancor di più, particolarmente nel caso in cui si debba valutare l'invalidità di un assicurato che si trova in età avanzata e ormai prossimo a quella che dà diritto ad una rendita d'assicurazione svizzera per la vecchiaia, bisogna procedere ad un'analisi globale della situazione e domandarsi se, nella realtà, questo assicurato è in misura di accedere ad un'attività in un mercato del lavoro supposto equilibrato (sentenza del Tribunale federale 9C_612/2007 del 14 luglio 2008 consid. 5.1 con riferimenti). 12.1 Non vengono prelevate spese processuali. Al ricorrente viene restituito l'anticipo delle spese processuali, di 400 franchi, da lui versato il 26 gennaio 2012. 12.2 In base all'art. 64 PA, l'autorità di ricorso, se ammette il ricorso in tutto o in parte, può assegnare al ricorrente un'indennità per le spese indispensabili e relativamente elevate che ha sopportato. Nel caso in esame, vista la memoria di ricorso, nonché la documentazione esibita, si giustifica riconoscere alla parte ricorrente un'indennità per spese ripetibili di 700 franchi, la quale è posta a carico dell'Ufficio AI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