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C-4319/2014 vom 17. April 2015</w:t>
      </w:r>
    </w:p>
    <w:p>
      <w:r>
        <w:t>Bundesverwaltungsgericht, 2015-04-17, FR</w:t>
      </w:r>
    </w:p>
    <w:p>
      <w:r>
        <w:rPr>
          <w:b/>
        </w:rPr>
        <w:t xml:space="preserve">Quelle: </w:t>
      </w:r>
      <w:r>
        <w:t>https://mcp.opencaselaw.ch/entscheid/bvger_C-4319_2014</w:t>
      </w:r>
    </w:p>
    <w:p>
      <w:r>
        <w:t>FR: TAF C-4319/2014 du 17 avril 2015</w:t>
      </w:r>
    </w:p>
    <w:p>
      <w:r>
        <w:t>IT: TAF C-4319/2014 del 17 aprile 2015</w:t>
      </w:r>
    </w:p>
    <w:p>
      <w:pPr>
        <w:pStyle w:val="Heading2"/>
      </w:pPr>
      <w:r>
        <w:t>Regeste</w:t>
      </w:r>
    </w:p>
    <w:p>
      <w:r>
        <w:t>Approbation d'une autorisation de séjour (divers)</w:t>
      </w:r>
    </w:p>
    <w:p>
      <w:pPr>
        <w:pStyle w:val="Heading2"/>
      </w:pPr>
      <w:r>
        <w:t>Erwägungen</w:t>
      </w:r>
    </w:p>
    <w:p>
      <w:r>
        <w:rPr>
          <w:b/>
        </w:rPr>
        <w:t>E. 1.1</w:t>
      </w:r>
    </w:p>
    <w:p>
      <w:r>
        <w:t>La procédure devant le Tribunal est régie par la PA, pour autant que la LTAF n'en dispose pas autrement (cf. art. 37 LTAF).</w:t>
      </w:r>
    </w:p>
    <w:p>
      <w:r>
        <w:rPr>
          <w:b/>
        </w:rPr>
        <w:t>E. 1.2</w:t>
      </w:r>
    </w:p>
    <w:p>
      <w:r>
        <w:t>Le Tribunal est compétent pour statuer sur une demande de révision dirigée contre un de ses propres arrêts (art. 45 LTAF). Les dispositions de la LTF régissant la révision, et en particulier les art. 121 à 123 LTF qui en prévoient les motifs, s'appliquent par analogie à la révision des arrêts du Tribunal administratif fédéral (cf. art. 45 LTAF).</w:t>
      </w:r>
    </w:p>
    <w:p>
      <w:r>
        <w:rPr>
          <w:b/>
        </w:rPr>
        <w:t>E. 1.3</w:t>
      </w:r>
    </w:p>
    <w:p>
      <w:r>
        <w:t>Ayant fait l'objet de l'arrêt du 20 novembre 2013 mis en cause par la demande de révision du 28 avril 2014, les requérants ont qualité pour agir. L'art. 124 al. 1 let. d LTF (applicable par renvoi de l'art. 45 LTAF) prévoit, s'agissant des "autres motifs" applicables en l'espèce, que la demande de révision doit être déposée dans les 90 jours qui suivent la découverte du motif de révision. Cela étant, compte tenu du fait que dans le cas particulier, il est difficile de déterminer la date à laquelle les motifs de révision ont été "découverts" et que la demande doit par ailleurs de toute manière être rejetée pour d'autres motifs, le Tribunal estime que la question de savoir si le délai prévu à l'art. 124 al. 1 let. d LTF a été respecté peut demeurer indécise en l'occurrence. En outre, la demande de révision a été présentée dans la forme prescrite par la loi (cf. art. 67 al. 3 PA, applicable par renvoi de l'art. 47 LTAF).</w:t>
      </w:r>
    </w:p>
    <w:p>
      <w:r>
        <w:rPr>
          <w:b/>
        </w:rPr>
        <w:t>E. 2</w:t>
      </w:r>
    </w:p>
    <w:p>
      <w:r>
        <w:t>A titre préliminaire, il convient de noter que c'est à bon droit que l'ODM a transmis la requête de A._______ et de B._______ du 28 avril 2014 au Tribunal de céans comme objet de sa compétence.</w:t>
      </w:r>
    </w:p>
    <w:p>
      <w:r>
        <w:rPr>
          <w:b/>
        </w:rPr>
        <w:t>E. 2.1</w:t>
      </w:r>
    </w:p>
    <w:p>
      <w:r>
        <w:t>A ce propos, il sied de rappeler que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p. 427ss et n° 1414ss, p. 476ss). Lorsque la cause a fait l'objet d'une décision matérielle sur recours et que le requérant fait valoir des éléments de fait ou de droit qui existaient déjà lors de la procédure de recours dirigée contre la décision dont le réexamen est sollicitée, la demande de l'intéressé doit être envisagée sous l'angle de la révision dont la cognition ressort à la compétence exclusive de l'autorité de recours ayant statué en dernière instance sur le fond de l'affaire. Si le requérant fait par contre valoir un fait nouveau ou une modification des circonstances qui seraient intervenus ultérieurement à la décision sur recours au fond, sa requête relève de la demande de réexamen, l'autorité de première instance étant alors compétente pour s'en saisir (cf. notamment l'arrêt du Tribunal administratif fédéral C-5867/2009 du 15 avril 2011 consid. 2 et les références citées et Kölz et al., Verwaltungsverfahren und Verwaltungsrechtspflege des Bundes, 3ème édition, 2013, n° 710, p. 251).</w:t>
      </w:r>
    </w:p>
    <w:p>
      <w:r>
        <w:rPr>
          <w:b/>
        </w:rPr>
        <w:t>E. 2.2</w:t>
      </w:r>
    </w:p>
    <w:p>
      <w:r>
        <w:t>En l'espèce, la demande de A._______ et de B._______ est fondée sur les troubles du développement dont souffrent leurs enfants et sur le fait que ces derniers nécessitent un suivi pédopsychiatrique régulier. Dans la mesure où le diagnostic de ces troubles est intervenu le 28 mars 2012 (cf. les certificats médicaux du Chef de clinique du Service de psychiatrie de l'enfant et de l'adolescent des Hôpitaux universitaires de Genève du 4 avril 2014) et où les éléments invoqués à l'appui de la demande existaient partant déjà lors de la procédure de recours ordinaire, la demande des prénommés du 28 avril 2014 doit être envisagée sous l'angle de la révision. Le fait que le suivi pédopsychiatrique a été interrompu entre janvier 2013 et février 2014 ne saurait modifier cette appréciation, dès lors que les requérants n'ont ni allégué, ni démontré, que pendant cette période, les enfants ne souffraient plus des mêmes troubles ou qu'une péjoration de leur état de santé serait survenue postérieurement à l'arrêt rendu sur recours.</w:t>
      </w:r>
    </w:p>
    <w:p>
      <w:r>
        <w:rPr>
          <w:b/>
        </w:rPr>
        <w:t>E. 3</w:t>
      </w:r>
    </w:p>
    <w:p>
      <w:r>
        <w:t>Une demande de révision, en tant que moyen juridictionnel extraordinaire susceptible d'être exercé contre un arrêt doué de force de chose jugée, n'est recevable qu'à de strictes conditions.</w:t>
      </w:r>
    </w:p>
    <w:p>
      <w:r>
        <w:rPr>
          <w:b/>
        </w:rPr>
        <w:t>E. 3.1</w:t>
      </w:r>
    </w:p>
    <w:p>
      <w:r>
        <w:t>La révision d'un arrêt peut notamment être demandée si le tribunal n'a pas statué sur certaines conclusions ou si, par inadvertance, il n'a pas pris en considération des faits pertinents qui ressortent du dossier (cf. art. 121 let. c et d LTF).</w:t>
      </w:r>
    </w:p>
    <w:p>
      <w:r>
        <w:rPr>
          <w:b/>
        </w:rPr>
        <w:t>E. 3.2</w:t>
      </w:r>
    </w:p>
    <w:p>
      <w:r>
        <w:t>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Fondée sur ce motif de révision, la demande n'est admissible que si l'intéressé invoque des pseudo-nova, à savoir des faits, respectivement des moyens de preuve qui existaient déjà à la date de l'arrêt rendu sur recours, mais qui n'étaient, à cette époque, pas connus du requérant (à ce sujet, cf. notamment Dominik Vock, in: Spühler et al., Bundesgerichtsgesetz Praxiskommentar, 2ème édition, 2013, ad. art. 123 LTF n° 3s, p. 639s, Elisabeth Escher, in : Niggli et al. (éd.), Bundesgerichtsgesetz, 2ème édition, 2011, ad. art. 123 LTF n° 5ss, p. 1599s, YVES DONZALLAZ, Loi sur le Tribunal fédéral, Commentaire, 2008, ad. art. 123 LTF n° 4702ss, p.1694ss et ATF 134 IV 48 consid. 1.2). En outre, les faits nouveaux et preuves nouvelles ne peuvent entraîner la révision que s'ils sont pertinents, c'est-à-dire de nature à influer l'issue de la cause (cf. notamment Vock, op. cit., ad. art. 123 LTF n°5, p. 641 et DONZALLAZ, op. cit., ad art. 123 LTF n° 4704, p.1694s).</w:t>
      </w:r>
    </w:p>
    <w:p>
      <w:r>
        <w:rPr>
          <w:b/>
        </w:rPr>
        <w:t>E. 3.3</w:t>
      </w:r>
    </w:p>
    <w:p>
      <w:r>
        <w:t>La demande de révision ne permet pas de supprimer une erreur de droit, de bénéficier d'une nouvelle interprétation ou d'une nouvelle pratique, d'obtenir une nouvelle appréciation de faits connus lors de la décision dont la révision est demandée ou de faire valoir des faits ou moyens de preuve qui auraient pu et dû être invoqués dans la procédure ordinaire (cf. par exemple Escher, op.cit., ad art. 123 LTF n° 7 et 8, p.1599s).</w:t>
      </w:r>
    </w:p>
    <w:p>
      <w:r>
        <w:rPr>
          <w:b/>
        </w:rPr>
        <w:t>E. 4.1</w:t>
      </w:r>
    </w:p>
    <w:p>
      <w:r>
        <w:t>A l'appui de leur demande de révision du 28 avril 2014, les requérants se sont prévalus des troubles du développement affectant leurs fils, en arguant que les problèmes médicaux de leurs enfants justifiaient la régularisation des conditions de séjour de la famille en Suisse en vertu de l'art. 30 al. 1 let. b LEtr et subsidiairement, qu'ils soient mis au bénéfice de l'admission provisoire. Ces arguments n'ont pas été avancés durant la procédure ordinaire concernant la demande d'autorisation de séjour des intéressés et ne ressortaient par ailleurs pas du dossier. Ils ne sauraient donc être pertinents sous l'angle de l'art. 121 let. d LTF. Il sied encore d'examiner si les éléments invoqués par les requérants sont susceptibles de justifier la révision de l'arrêt du 20 novembre 2013 sous l'angle de l'art. 123 al. 2 let. a LTF.</w:t>
      </w:r>
    </w:p>
    <w:p>
      <w:r>
        <w:rPr>
          <w:b/>
        </w:rPr>
        <w:t>E. 4.2</w:t>
      </w:r>
    </w:p>
    <w:p>
      <w:r>
        <w:t>A ce propos, il importe de rappeler que l'invocation d'un fait nouveau n'est admissible que si le requérant était dans l'impossibilité non fautive d'invoquer le fait en cause dans la procédure ordinaire. Cette impossibilité implique par ailleurs que le requérant ait fait preuve de toute la diligence que l'on pouvait exiger d'un plaideur consciencieux pour réunir tous les faits et moyens de preuves à l'appui de sa cause (cf. notamment Vock, op. cit., ad. art. 123 LTF n°4, p. 640 et DONZALLAZ, op. cit., ad art. 123 LTF n° 4706, p.1695s). Or, en l'occurrence, il ressort des certificats médicaux produits à l'appui de la demande de révision que le diagnostic des troubles des deux frères était déjà intervenu le 28 mars 2012 et que les enfants, qui présentent toujours les mêmes difficultés, ont ensuite été suivis à la Guidance infantile jusqu'en janvier 2013 (cf. les certificats médicaux du Chef de clinique du Service de psychiatrie de l'enfant et de l'adolescent des Hôpitaux universitaires de Genève du 4 avril 2014). Force est par conséquent de constater que les faits nouveaux invoqués par les intéressés étaient déjà connus des requérants lors de la procédure ordinaire et auraient ainsi dû être invoqués à ce moment-là déjà. Les requérants n'ont en effet ni allégué, ni démontré, qu'il leur était impossible de se prévaloir des troubles psychologiques dont souffrent leurs enfants durant la procédure ordinaire, ni qu'une péjoration significative de leur état de santé ne serait intervenue depuis l'interruption du suivi médical en 2012. Dans ces conditions, les éléments avancés à l'appui de la demande du 28 avril 2014 ne sauraient justifier la révision de l'arrêt du 20 novembre 2013.</w:t>
      </w:r>
    </w:p>
    <w:p>
      <w:r>
        <w:rPr>
          <w:b/>
        </w:rPr>
        <w:t>E. 4.3</w:t>
      </w:r>
    </w:p>
    <w:p>
      <w:r>
        <w:t>En outre, les certificats médicaux produits à l'appui de la demande de révision ne représentent pas des moyens de preuve nouveaux au sens de l'art. 123 al. 2 let. a LTF, puisque seuls les moyens de preuve qui existaient au moment où ils pouvaient valablement être invoqués mais qui, sans faute, ne l'ont pas été, sont susceptibles de fonder une révision (cf. notamment Vock, op. cit., ad. art. 123 LTF ibid. et DONZALLAZ, op. cit., ad art. 123 LTF n° 4710, p.1697).</w:t>
      </w:r>
    </w:p>
    <w:p>
      <w:r>
        <w:rPr>
          <w:b/>
        </w:rPr>
        <w:t>E. 4.4</w:t>
      </w:r>
    </w:p>
    <w:p>
      <w:r>
        <w:t>A titre superfétatoire, il sied encore de noter que même dans l'hypothèse où les éléments invoqués par les requérants constitueraient effectivement des pseudo-nova, ils ne sauraient justifier la révision de l'arrêt du 20 novembre 2013, dès lors qu'ils ne sont pas suffisamment importants pour influer sur l'issue du litige (cf. consid. 3.2 in fine supra et références citées). Selon le certificat médical produit à l'appui de la demande de révision, les frères présentent des difficultés de concentration, d'interaction sociale et des difficultés langagières. Or, bien que ces troubles soient susceptibles de rendre l'intégration des enfants en Bolivie plus difficile, ils n'atteignent pas le degré de gravité nécessaire pour justifier la régularisation des conditions de séjour de la famille en Suisse en vertu de l'art. 30 al. 1 let. b LEtr. C'est ici le lieu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En revanche, le seul fait de pouvoir obtenir en Suisse des prestations médicales supérieures à celles offertes dans le pays d'origine ne suffit pas à justifier une dérogation aux conditions d'admission. En outre, les troubles médicaux dont souffrent les enfants ne permettent pas non plus de qualifier l'exécution de leur renvoi d'illicite ou d'inexigible au sens de l'art. 83 al. 3 et 4 LEtr (au sujet de la prise en compte des problèmes médicaux dans l'analyse respectivement d'un cas de rigueur, de la licéité et de l'exigibilité de l'exécution du renvoi, cf. notamment l'arrêt du Tribunal administratif fédéral C-5450/2011 du 14 décembre 2012 consid. 6.4, 7.2.2 et 7.2.3.1). Enfin, selon les informations à disposition du Tribunal, les troubles de nature psychologique peuvent en principe être pris en charge de manière satisfaisante en Bolivie (cf. l'arrêt du Tribunal administratif fédéral C-2659/2011 du 29 janvier 2013 consid. 6.3.5).</w:t>
      </w:r>
    </w:p>
    <w:p>
      <w:r>
        <w:rPr>
          <w:b/>
        </w:rPr>
        <w:t>E. 4.5</w:t>
      </w:r>
    </w:p>
    <w:p>
      <w:r>
        <w:t>Dans ces conditions, la demande de révision, en tant qu'elle repose sur les moyens invoqués en cause, ne peut qu'être rejetée, dans la mesure où elle est recevable.</w:t>
      </w:r>
    </w:p>
    <w:p>
      <w:r>
        <w:rPr>
          <w:b/>
        </w:rPr>
        <w:t>E. 5</w:t>
      </w:r>
    </w:p>
    <w:p>
      <w:r>
        <w:t>Vu l'issue de la cause, il y a lieu de mettre les frais de procédure à la charge des requérants (cf. art. 63 al. 1 PA en relation avec l'art. 68 al. 2 PA et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