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C-4310/2013 vom 20. April 2015</w:t>
      </w:r>
    </w:p>
    <w:p>
      <w:r>
        <w:t>Bundesverwaltungsgericht, 2015-04-20, DE</w:t>
      </w:r>
    </w:p>
    <w:p>
      <w:r>
        <w:rPr>
          <w:b/>
        </w:rPr>
        <w:t xml:space="preserve">Quelle: </w:t>
      </w:r>
      <w:r>
        <w:t>https://mcp.opencaselaw.ch/entscheid/bvger_C-4310_2013</w:t>
      </w:r>
    </w:p>
    <w:p>
      <w:r>
        <w:t>FR: TAF C-4310/2013 du 20 avril 2015</w:t>
      </w:r>
    </w:p>
    <w:p>
      <w:r>
        <w:t>IT: TAF C-4310/2013 del 20 aprile 2015</w:t>
      </w:r>
    </w:p>
    <w:p>
      <w:pPr>
        <w:pStyle w:val="Heading2"/>
      </w:pPr>
      <w:r>
        <w:t>Regeste</w:t>
      </w:r>
    </w:p>
    <w:p>
      <w:r>
        <w:t>Tarife der Leistungserbringer</w:t>
      </w:r>
    </w:p>
    <w:p>
      <w:pPr>
        <w:pStyle w:val="Heading2"/>
      </w:pPr>
      <w:r>
        <w:t>Erwägungen</w:t>
      </w:r>
    </w:p>
    <w:p>
      <w:r>
        <w:rPr>
          <w:b/>
        </w:rPr>
        <w:t>E. 1.1</w:t>
      </w:r>
    </w:p>
    <w:p>
      <w:r>
        <w:t>Den angefochtenen RRB 2013-692 vom 19. Juni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1.5</w:t>
      </w:r>
    </w:p>
    <w:p>
      <w:r>
        <w:t>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In BVGE 2014/3 hat das Bundesverwaltungsgericht erkannt, dass die in Art. 53 Abs. 2 Bst. a KVG verankerte Novenregelung nicht ohne Weiteres in Einklang zu bringen ist mit den auch in Beschwerdeverfahren nach Art. 53 Abs. 1 KVG anwendbaren Verfahrensvorschriften des VwVG, namentlich mit dem Untersuchungsgrundsatz (BVGE 2014/3 E. 1.5.3). Das Verhältnis der Novenregelung (Art. 53 Abs. 2 Bst. a KVG) und des Grundsatzes der Sachverhaltsabklärung von Amtes wegen (Art. 12 VwVG) ist in dem Sinne zu interpretieren, dass Art. 53 Abs. 2 Bst. a KVG zwar den Untersuchungsgrundsatz im Beschwerdeverfahren nicht aufhebt, diesen jedoch in den Hintergrund treten lässt. Das Bundesverwaltungsgericht wird daher nur aber immerhin in besonderen Fällen ergänzende Sachverhaltsabklärungen vornehmen. Der Untersuchungsgrundsatz führt jedoch nicht dazu, dass die Novenregelung nach Art. 53 Abs. 2 Bst. a KVG nicht oder nur beschränkt anwendbar wäre. Daher können sich die Parteien im Beschwerdeverfahren nur auf neue Tatsachen und Beweismittel berufen, soweit erst der angefochtene Beschluss dazu Anlass gibt (BVGE 2014/3 E. 1.5.4). Im Sinne von Art. 53 Abs. 2 Bst. a KVG verspätet eingereichte Beweismittel sind indessen nicht förmlich aus dem Recht zu weisen (BVGE 2014/3 E. 1.5.3 ff.). Der Verfahrens­antrag der Beschwerdegegnerin, die Beweisofferten Nr. 2 und 4 - 12 der Beschwerdeführerinnen seien aus dem Recht zu weisen, ist demnach abzuweisen.</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Streitig ist die vorinstanzliche Festsetzung eines Basisfallwerts (Baserate)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(Baserate)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3.2</w:t>
      </w:r>
    </w:p>
    <w:p>
      <w:r>
        <w:t>Die Preisbestimmung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3.4</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3.5</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sowie E. 3.4 und E. 22.3 ff.).</w:t>
      </w:r>
    </w:p>
    <w:p>
      <w:r>
        <w:rPr>
          <w:b/>
        </w:rPr>
        <w:t>E. 3.6</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(zu den Anforderungen an ein Preisbenchmarking vgl. BVGE 2014/36 E. 6.7).</w:t>
      </w:r>
    </w:p>
    <w:p>
      <w:r>
        <w:rPr>
          <w:b/>
        </w:rPr>
        <w:t>E. 3.7</w:t>
      </w:r>
    </w:p>
    <w:p>
      <w:r>
        <w:t>Im Urteil C-3425/2013 vom 29. Januar 2015 hat das Bundesverwaltungsgericht das Vorgehen des Regierungsrates des Kantons Glarus, das Fehlen eines gesamtschweizerischen Betriebsvergleichs mit dem Beizug verschiedener Benchmarkings zu kompensieren, angesichts der im Zeitpunkt des Festsetzungsentscheides in einem kleinen Kanton zur Verfügung stehenden Entscheidgrundlagen als grundsätzlich sachgerecht bezeichnet (E. 4.4.5). Die von tarifsuisse gewählte Methode zur Bestimmung des Benchmark-Wertes entspricht nicht Art. 49 Abs. 1 Satz 5 KVG (C-3425/2013 E. 4.3.2, Urteil BVGer C-3497/2013 vom 26. Januar 2015 E. 3.8.2), weshalb nicht zu beanstanden war, dass die Vorinstanz nicht auf diesen Wert abgestellt hatte. Gestützt auf die dem Benchmarking von tarifsuisse zugrunde liegenden Daten hätte sie indessen einen Fallkostenvergleich vornehmen können (C-3425/2013 E. 4.4.1 i.V.m. E. 4.3).</w:t>
      </w:r>
    </w:p>
    <w:p>
      <w:r>
        <w:rPr>
          <w:b/>
        </w:rPr>
        <w:t>E. 4</w:t>
      </w:r>
    </w:p>
    <w:p>
      <w:r>
        <w:t>Die Vorinstanz hat den Basisfallwert entsprechend den von ihr als genehmigungsfähig erachteten Tarifverträgen zwischen der Beschwerdegegnerin und anderen Krankenversicherern festgesetzt, weil gemäss § 8 Abs. 2 SpiG pro Leistungserbringer nur eine Baserate genehmigt oder festgesetzt werden könne.</w:t>
      </w:r>
    </w:p>
    <w:p>
      <w:r>
        <w:rPr>
          <w:b/>
        </w:rPr>
        <w:t>E. 4.1</w:t>
      </w:r>
    </w:p>
    <w:p>
      <w:r>
        <w:t>Das Bundesverwaltungsgericht hatte bereits im Urteil C-4460/2013 vom 29. Oktober 2014 (BVGE 2014/37) die Bundesrechtskonformität des in § 8 Abs. 2 SpiG verankerten kantonalen Tarifgestaltungsgrundsatzes zu beurteilen. Entgegen der Annahme der Vorinstanz stellt § 8 Abs. 2 SpiG nicht eine zulässige Konkretisierung des Grundsatzes der Billigkeit im Sinne von Art. 46 Abs. 4 Satz 2 KVG dar. Vielmehr verstösst die kantonale Norm gegen diesen und weitere Grundsätze des KVG, namentlich das Vertragsprimat und die Vertragsfreiheit (BVGE 2014/37 E. 3.4-3.5.3).</w:t>
      </w:r>
    </w:p>
    <w:p>
      <w:r>
        <w:rPr>
          <w:b/>
        </w:rPr>
        <w:t>E. 4.2</w:t>
      </w:r>
    </w:p>
    <w:p>
      <w:r>
        <w:t>Nach der Rechtsprechung muss sodann der hoheitlich festgesetzte Tarif nicht mit dem vertraglich vereinbarten (und genehmigten) Tarif übereinstimmen (BVGE 2014/37 E. 3.5.2); der zuständigen kantonalen Behörde obliegen im Festsetzungsverfahren nach Art. 47 Abs. 1 KVG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(BVGE 2014/37 E. 3.1, 2014/36 E. 24.3.3).</w:t>
      </w:r>
    </w:p>
    <w:p>
      <w:r>
        <w:rPr>
          <w:b/>
        </w:rPr>
        <w:t>E. 4.3</w:t>
      </w:r>
    </w:p>
    <w:p>
      <w:r>
        <w:t>Zwar hat das Bundesverwaltungsgericht der Kantonsregierung als Festsetzungsbehörde - zumindest in der Phase der Einführung der leistungsbezogenen Fallpauschalen - bei der Umsetzung der Preisbildungsregel nach Art. 49 Abs. 1 Satz 5 KVG beziehungsweise bei der Durchführung des Benchmarkings einen erheblichen Spielraum einzuräumen (vgl. E. 3.4). Nicht im Ermessen der Festsetzungsbehörde liegt jedoch der Entscheid, ob die Preisbildungsregel nach Art. 49 Abs. 1 Satz 5 KVG angewendet werden soll.</w:t>
      </w:r>
    </w:p>
    <w:p>
      <w:r>
        <w:rPr>
          <w:b/>
        </w:rPr>
        <w:t>E. 4.3.1</w:t>
      </w:r>
    </w:p>
    <w:p>
      <w:r>
        <w:t>Der Argumentation der Vorinstanz, wonach mangels hinreichender Daten auf ein Benchmarking ganz zu verzichten sei (vgl. Sachverhalt B.a), kann nicht gefolgt werden (vgl. auch Urteile BVGer C-4190/2013 vom 23. November 2014 E. 3.3, C-4196/2013 vom 19. Januar 2013 E. 3.3.2, C-4460/2013 E. 3.3). Entgegen der Annahme der Vorinstanz (und der Preisüberwachung) ist nach neuem Recht nicht zuerst aufgrund der spitalindividuell kalkulierten Fallkosten (Schweregrad 1.0 [vgl. zu diesem Begriff BVGE 2014/3 Anhang S. 90]) ein Tarif zu berechnen und anschliessend zu prüfen, ob dieser wirtschaftlich sei. Die spitalindividuellen Kosten sind wesentlich für das Fallkosten-Benchmarking und dienen der Ermittlung des Referenzwertes im Sinne von Art. 49 Abs. 1 Satz 5 KVG; erst dieser Referenzwert soll die Orientierungsgrösse bei der Tariffestsetzung bilden (vgl. Urteil des BVGer C-3497/2013 vom 26. Januar 2015 E. 3.1.3 m.w.H.). Ob die Vorinstanz - wie die Beschwerdegegnerin vorbringt - den Basisfallwert in Kenntnis des Benchmarkings zwischen LUKS, KSSG und KSA festgesetzt hat, ist nicht entscheidend. Die Begründung des angefochtenen Beschlusses lässt keinen Zweifel daran, dass der Regierungsrat nicht gestützt auf einen Fallkostenvergleich (oder eine andere Variante eines Benchmarkings) den Tarif bestimmt hat, sondern aufgrund der Berechnung der spitalindividuell kalkulierten Fallkosten sowie in Anwendung des bundesrechtswidrigen Tarifgestaltungsgrund­satzes "eine Baserate pro Leistungserbringer" (§ 8 Abs. 2 SpiG).</w:t>
      </w:r>
    </w:p>
    <w:p>
      <w:r>
        <w:rPr>
          <w:b/>
        </w:rPr>
        <w:t>E. 4.3.2</w:t>
      </w:r>
    </w:p>
    <w:p>
      <w:r>
        <w:t>Der angefochtene Beschluss könnte selbst dann nicht geschützt werden, wenn die Vorinstanz gestützt auf den Fallkostenvergleich von LUKS, KSSG und KSA ihren Festsetzungsentscheid getroffen hätte. Das von der Beschwerdegegnerin eingebrachte Benchmarking war bereits in BVGE 2014/3 zu beurteilen. Demnach kann ein Benchmarking mit einer solch kleinen und zudem positiv selektierten Vergleichsgruppe kaum noch als vertretbar erachtet werden. Nicht mit Art. 49 Abs. 1 KVG vereinbar ist jedenfalls, wenn wie vorliegend der Benchmark bei einem Spital gesetzt wird, dessen benchmarking-relevante Betriebskosten nicht KVG-konform ermittelt wurden und das betreffende Spital aufgrund intransparenter Daten eigentlich gar nicht in das Benchmarking einbezogen werden sollte (BVGE 2014/3 E. 10.2).</w:t>
      </w:r>
    </w:p>
    <w:p>
      <w:r>
        <w:rPr>
          <w:b/>
        </w:rPr>
        <w:t>E. 4.4</w:t>
      </w:r>
    </w:p>
    <w:p>
      <w:r>
        <w:t>Demnach widerspricht der angefochtene Beschluss den Grundsätzen des KVG und ist deshalb aufzuheben. Insoweit erweist sich die Beschwerde als begründet.</w:t>
      </w:r>
    </w:p>
    <w:p>
      <w:r>
        <w:rPr>
          <w:b/>
        </w:rPr>
        <w:t>E. 4.4.1</w:t>
      </w:r>
    </w:p>
    <w:p>
      <w:r>
        <w:t>Abzuweisen ist hingegen - soweit es sich nicht ohnehin um ein unzulässiges neues Begehren im Sinne von Art. 53 Abs. 2 Bst. a KVG handelt - der Antrag der Beschwerdeführerinnen, es sei ein Basisfallwert von CHF 8'974.- festzusetzen. Dieser Basisfallwert entspricht der Empfehlung der Preisüberwachung beziehungsweise deren mittels Benchmarking ermittelten Referenzwert für Nicht-Universitätsspitäler (vgl. V-act. 336). Das Benchmarking beruht auf einer Auswahl von fünf Spitälern aus der ganzen Schweiz, deren spitalindividuell kalkulierten Fallkosten (Schweregrad 1.0) von der Preisüberwachung als wirtschaftlich beurteilt wurden. Wie das Bundesverwaltungsgericht in BVGE 2014/36 festgestellt hat, fehlt bei dieser Prüfmethode ein Vergleich zur Grundgesamtheit, und es ist nicht erkennbar, ob die von der Preisüberwachung erhobene Stichprobe die Gesamtheit der wirtschaftlich arbeitenden Spitäler ausreichend repräsentiert. Weiter ist nicht erkennbar, welcher Massstab der Effizienz bezogen auf die Grundgesamtheit angewendet wurde. Bezüglich der Repräsentativität und Transparenz weist die von der Preisüberwachung gewählte Methode erhebliche Mängel auf. Gleiches gilt auch für die von ihr gewählte Methode der Kostenermittlung (BVGE 2014/36 E. 9.2 m.H., C-3425/2013 E. 4.4.2).</w:t>
      </w:r>
    </w:p>
    <w:p>
      <w:r>
        <w:rPr>
          <w:b/>
        </w:rPr>
        <w:t>E. 4.4.2</w:t>
      </w:r>
    </w:p>
    <w:p>
      <w:r>
        <w:t>Soweit die Beschwerdeführerinnen sinngemäss geltend machen, der Basisfallwert könnte auch gestützt auf das Benchmarking von tarifsuisse oder auf den Zürcher Fallkostenvergleich für nichtuniversitäre Spitäler festgesetzt werden, ist Folgendes zu bemerken: Die von tarifsuisse gewählte Methode zur Bestimmung des Benchmark-Wertes entspricht nicht Art. 49 Abs. 1 Satz 5 KVG (Urteile BVGer C-3425/2013 vom 29. Januar 2015 E. 4.3.2 und C-3497/2013 vom 26. Januar 2015 E. 3.8.2), weshalb nicht darauf abgestellt werden kann. Das Benchmarking des Kantons Zürich weist zwar - trotz einiger Mängel - insgesamt eine gute Qualität auf (BVGE 2014/36 E. 6 ff. und E. 17). Beim Zürcher Fallkostenvergleich handelt es sich jedoch nicht um einen schweizweiten Betriebsvergleich, wie Art. 49 Abs. 8 KVG vorschreibt (vgl. BVGE 2014/36 E. 4.3 und E. 9.5 f.). Im Tariffestsetzungsverfahren hat in erster Linie die zuständige Kantonsregierung zu entscheiden, mit welchen sachgerechten Korrekturmassnahmen sie in der Einführungsphase die bestehenden Mängel "überbrücken" will (vgl. oben E. 3.4). Sodann sind vorliegend weitere Ermessensfragen (bspw. zum Effizienzmassstab, vgl. BVGE 2014/36 E. 10.3, C-3425/2013 E. 4.2.6) zu entscheiden, wofür ebenfalls primär die Kantonsregierung und nicht das Gericht zuständig ist (vgl. BVGE 2014/3 E. 10.4 i.V.m. E. 3.2.7 und 10.1.4). Zudem ist zu berücksichtigen, dass das Bundesverwaltungsgericht als einzige Gerichtsinstanz urteilt (vgl. nachfolgend E. 6) und die Parteien daher gegen den Festsetzungsbeschluss kein Rechtsmittel ergreifen könnten, was mit Blick auf die Art. 29a BV verankerte Rechtsweggarantie problematisch erschiene. Die Voraussetzungen für ein reformatorisches Urteil sind daher nicht gegeben.</w:t>
      </w:r>
    </w:p>
    <w:p>
      <w:r>
        <w:rPr>
          <w:b/>
        </w:rPr>
        <w:t>E. 4.4.3</w:t>
      </w:r>
    </w:p>
    <w:p>
      <w:r>
        <w:t>Demnach ist die Beschwerde im Eventualantrag gutzuheissen. Die Sache ist an die Vorinstanz zurückzuweisen, damit sie im Sinne der Erwägungen den Basisfallwert mit Wirkung ab 1. Januar 2012 neu fest­setze.</w:t>
      </w:r>
    </w:p>
    <w:p>
      <w:r>
        <w:rPr>
          <w:b/>
        </w:rPr>
        <w:t>E. 4.4.4</w:t>
      </w:r>
    </w:p>
    <w:p>
      <w:r>
        <w:t>Bei diesem Ergebnis muss nicht weiter auf die umstrittene Kostenermittlung eingegangen werden; es kann auf die Erwägungen zur Ermittlung der benchmarking-relevanten Betriebskosten in den beiden Grundsatzurteilen verwiesen werden (BVGE 2014/3 E. 3 - 9, 2014/36 E. 6.2 und 13 ff.). Es ist jedoch darauf hinzuweisen, dass für das Benchmarking möglichst genaue (realitätsgerechte) Kostendaten erforderlich sind (BVGE 2014/3 E. 6.4.4 und E. 9.2.1, 2014/36 E. 4.5 und E. 6.4). Dies gilt insbesondere auch für die Kosten für Forschung und universitäre Lehre (vgl. BVGE 2014/3 E. 6, 2014/36 E. 16) und weitere gemeinwirtschaftliche Leistungen (vgl. BVGE 2014/3 E. 7, 2014/36 E. 16.3; betreffend Vorhalteleistungen für den Notfall siehe BVGE 2014/36 E. 21). Was die von den Beschwerdeführerinnen beanstandete Befristung des Tarifs betrifft, ist auf BVGE 2012/18 zu verweisen, wonach eine "Maximalbefristung" des Tarifs nicht unzulässig ist (BVGE 2012/18 E. 7.3 und E. 7.5).</w:t>
      </w:r>
    </w:p>
    <w:p>
      <w:r>
        <w:rPr>
          <w:b/>
        </w:rPr>
        <w:t>E. 5</w:t>
      </w:r>
    </w:p>
    <w:p>
      <w:r>
        <w:t>Zu befinden ist abschliessend über die Verfahrenskosten und allfällige Parteientschädigungen.</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5.1.1</w:t>
      </w:r>
    </w:p>
    <w:p>
      <w:r>
        <w:t>Die Beschwerdeführerinnen obsiegen insoweit, als sie die Aufhebung des angefochtenen Beschlusses und Rückweisung an die Vorinstanz beantragen; sie unterliegen mit ihrem Antrag, es sei ein Basisfallwert von CHF 8'974.- festzusetzen. Die Beschwerdegegnerin unterliegt, soweit sie die vollumfängliche Abweisung der Beschwerde beantragt. Die Rückweisung an die Vorinstanz ist vorliegend als je hälftiges Obsiegen beziehungsweise Unterliegen zu betrachten.</w:t>
      </w:r>
    </w:p>
    <w:p>
      <w:r>
        <w:rPr>
          <w:b/>
        </w:rPr>
        <w:t>E. 5.1.2</w:t>
      </w:r>
    </w:p>
    <w:p>
      <w:r>
        <w:t>Die Verfahrenskosten werden auf CHF 6'000.- festgelegt. Der von den Beschwerdeführerinnen zu leistende Anteil von CHF 3'000.- wird dem Kostenvorschuss (CHF 8'000.-) entnommen. Der darüber hinausgehende Betrag von CHF 5'000.- wird ihnen zurückerstattet. Der Beschwerdegegnerin werden Verfahrenskosten von CHF 3'000.- auferlegt.</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Vorliegend sind die Beschwerdeführerinnen und die Beschwerdegegnerin als im gleichen Umfang obsiegend beziehungsweise unterliegend zu betrachten, weshalb die Parteientschädigungen wettgeschlagen werden können.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