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C-429/2008 vom 27. April 2009</w:t>
      </w:r>
    </w:p>
    <w:p>
      <w:r>
        <w:t>Bundesverwaltungsgericht, 2009-04-27, FR</w:t>
      </w:r>
    </w:p>
    <w:p>
      <w:r>
        <w:rPr>
          <w:b/>
        </w:rPr>
        <w:t xml:space="preserve">Quelle: </w:t>
      </w:r>
      <w:r>
        <w:t>https://mcp.opencaselaw.ch/entscheid/bvger_C-429_2008</w:t>
      </w:r>
    </w:p>
    <w:p>
      <w:r>
        <w:t>FR: TAF C-429/2008 du 27 avril 2009</w:t>
      </w:r>
    </w:p>
    <w:p>
      <w:r>
        <w:t>IT: TAF C-429/2008 del 27 aprile 2009</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tel notamment le RSEE en vertu de l'art. 91 de l'ordonnance du 24 octobre 2007 relative à l'admission, au séjour et à l'exercice d'une activité lucrative (OASA, RS 142.201). S'agissant des procédures qui sont antérieures à l'entrée en vigueur de la LEtr, l'ancien droit matériel est applicable, conformément à la réglementation transitoire de l'art. 126 al. 1 LEtr (cf. en ce sens ATAF 2008/1 consid. 2). Tel est le cas en l'occurrence.</w:t>
      </w:r>
    </w:p>
    <w:p>
      <w:r>
        <w:rPr>
          <w:b/>
        </w:rPr>
        <w:t>E. 1.3</w:t>
      </w:r>
    </w:p>
    <w:p>
      <w:r>
        <w:t>A moins que la LTAF n'en dispose autrement, la procédure devant le TAF est régie par la PA (cf. art. 37 LTAF).</w:t>
      </w:r>
    </w:p>
    <w:p>
      <w:r>
        <w:rPr>
          <w:b/>
        </w:rPr>
        <w:t>E. 1.4</w:t>
      </w:r>
    </w:p>
    <w:p>
      <w:r>
        <w:t>A._______ a qualité pour recourir (cf. art. 48 al. 1 PA). Son recours, présenté dans la forme et les délais prescrits par la loi, est recevable (cf. art. 50 et 52 PA).</w:t>
      </w:r>
    </w:p>
    <w:p>
      <w:r>
        <w:rPr>
          <w:b/>
        </w:rPr>
        <w:t>E. 2</w:t>
      </w:r>
    </w:p>
    <w:p>
      <w:r>
        <w:t>Avant de procéder à l'examen du recours au fond, le Tribunal observe d'emblée que la décision cantonale de refus d'autorisation de séjour et de renvoi est en force et que l'objet de la présente procédure vise exclusivement à déterminer si c'est à bon droit que l'ODM a étendu les effets de la décision cantonale de renvoi à tout le territoire de la Confédération.</w:t>
      </w:r>
    </w:p>
    <w:p>
      <w:r>
        <w:rPr>
          <w:b/>
        </w:rPr>
        <w:t>E. 3.1</w:t>
      </w:r>
    </w:p>
    <w:p>
      <w:r>
        <w:t>L'étranger qui n'est au bénéfice d'aucune autorisation peut être tenu en tout temps de quitter la Suisse (art. 12 al. 1 LSEE). L'étranger est tenu de quitter le canton à l'échéance de l'autorisation (art. 12 al. 2 LSEE).</w:t>
      </w:r>
    </w:p>
    <w:p>
      <w:r>
        <w:rPr>
          <w:b/>
        </w:rPr>
        <w:t>E. 3.2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3.3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4.1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 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 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(cf. consid. 6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5.1</w:t>
      </w:r>
    </w:p>
    <w:p>
      <w:r>
        <w:t>En l'espèce, force est de constater que A._______ a fait l'objet, le 6 novembre 1998 et le 11 mars 2003, de décisions de refus d'autorisation de séjour et de renvoi de la part des autorités cantonales, que ces décisions ont acquis force de chose jugée et qu'elles sont dès lors exécutoires. Le recourant, à défaut d'être encore titulaire d'un titre de séjour, n'est donc plus autorisé à résider légalement sur le territoire vaudois.</w:t>
      </w:r>
    </w:p>
    <w:p>
      <w:r>
        <w:rPr>
          <w:b/>
        </w:rPr>
        <w:t>E. 5.2</w:t>
      </w:r>
    </w:p>
    <w:p>
      <w:r>
        <w:t>Par ailleurs, l'autorité intimée n'a pas jugé nécessaire de renoncer à l'extension du renvoi à tout le territoire de la Suisse, ce qui ne saurait être contesté dans la mesure où il ne ressort pas du dossier que le recourant, qui ne s'est jamais prévalu d'attaches particulières avec un canton autre que celui de Vaud, aurait engagé, à la suite des décisions négatives rendues par les autorités vaudoises, une nouvelle procédure d'autorisation dans un canton tiers qui se serait déclaré disposé à régler ses conditions de séjour sur son propre territoire (cf. JAAC 62.52 consid. 9).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6.1</w:t>
      </w:r>
    </w:p>
    <w:p>
      <w:r>
        <w:t>La décision de renvoi de Suisse étant confirmée, il convient encore d'examiner s'il se justifie, en application de l'art. 14a al. 1 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 ment exigée si elle implique la mise en danger concrète de l'étranger (art. 14a al. 2 à 4 LSEE).</w:t>
      </w:r>
    </w:p>
    <w:p>
      <w:r>
        <w:rPr>
          <w:b/>
        </w:rPr>
        <w:t>E. 6.2</w:t>
      </w:r>
    </w:p>
    <w:p>
      <w:r>
        <w:t>L'examen des pièces du dossier révèle que A._______, dont le passeport établi le 29 mai 1997 à Prizren est échu, est en mesure de se procurer un nouveau passeport auprès des autorités de la République du Kosovo (qui en délivrent depuis le 30 juillet 2008) et qu'il lui appartient dès lors d'accomplir les démarches nécessaires en vue de la délivrance d'un document de voyage lui permettant de quitter la Suisse. Dans ces circonstances, le TAF considère que l'exécution du renvoi ne se heurte pas à des obstacles insurmontables d'ordre technique et se révèle donc possible (art. 14a al. 2 LSEE).</w:t>
      </w:r>
    </w:p>
    <w:p>
      <w:r>
        <w:rPr>
          <w:b/>
        </w:rPr>
        <w:t>E. 6.3</w:t>
      </w:r>
    </w:p>
    <w:p>
      <w:r>
        <w:t>S'agissant de la licéité de l'exécution du renvoi du recourant, il convient d'examiner - sous l'angle de l'art. 3 CEDH - si cette dernière serait contraire aux engagements de la Suisse relevant du droit international. A cet égard, s'il est vrai que l'interdiction de la torture, des peines et traitements inhumains ou dégradants s'applique indépendamment de la reconnaissance de la qualité de réfugié (cf. Cour européenne des droits de l'homme, arrêt Vilvarajah et autres c. Royaume Uni du 30 octobre 1991, série A no 215, par. 102-103 et 111-113; arrêt Cruz Varas et autres c. Suède du 20 mars 1991, série A no 201, par. 69-70; décisions de la Commission européenne des droits de l'homme No 14514/89, 14982/89; ATF 111 Ib 71 et jurisprudence citée; Journal des Tribunaux [JdT] 1987 I 206; JAAC 50.5), cela ne signifie encore pas qu'un renvoi serait prohibé par le seul fait que dans le pays concerné, des violations de cette disposition devraient être constatées. Encore 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(JACQUES VELU / RUSEN ERGEC, La Convention européenne des droits de l'homme, Bruxelles 1990, p. 203ss; ARTHUR HAEFLIGER, Die Menschenrechtskonvention und die Schweiz, Berne 1993, p. 64ss). Il en ressort qu'une guerre civile, une situation insurrectionnelle, des troubles intérieurs graves, un climat de violence généralisée ne suffisent pas à justifier la mise en ?uvre de la protection issue de l'art. 3 CEDH, tant que la personne concernée ne peut rendre hautement probable qu'elle serait visée personnellement - et non pas simplement par le fait d'un hasard malheureux - par des mesures incompatibles avec la disposition en question (KAY HAILBRONNER, Der Flüchtlingsbegriff der Genfer Flüchtlingskonvention und die Rechtstellung von De-facto-Flüchtlingen, ZAR 1993, p. 8; du même auteur, Das Refoulement-Verbot und die humanitären Flüchtlinge im Völkerrecht, ZAR 1987, p. 10ss; KÄLIN, op. cit., p. 205 et 237). En l'espèce, la recourant n'a pas démontré, au cours de la présente procédure, qu'il encourait un risque concret et sérieux d'être victime de tortures ou de traitements inhumains ou dégradants au sens de l'art. 3 CEDH en cas de renvoi au Kosovo (cf. sur ce point la jurisprudence de la Commission européenne des droits de l'homme dont des extraits ont été publiés dans la JAAC 67.138 consid. 1, 64.156 consid. 6.2 à 6.4, 62.89 consid. 1; voir également l'ATF 121 II 296 consid. 5a/aa, ainsi que KAELIN, op. cit., p. 245 et réf. citées). Il appert au demeurant que la situation générale au Kosovo a connu une stabilisation depuis la proclamation de l'indépendance. Il convient de relever au surplus qu'en date du 6 mars 2009 le Conseil fédéral a déclaré le Kosovo "état sûr", rang auquel peut être élevé un Etat assurant le respect des droits de l'homme, ainsi que l'application des conventions internationales conclues dans les domaines des droits de l'homme et des réfugiés. En considération de ce qui précède, il apparaît que l'exécution du renvoi de A._______ ne transgresse aucun engagement pris par la Suisse relevant du droit international, de sorte qu'elle s'avère licite (art. 14a al. 3 LSEE).</w:t>
      </w:r>
    </w:p>
    <w:p>
      <w:r>
        <w:rPr>
          <w:b/>
        </w:rPr>
        <w:t>E. 6.4</w:t>
      </w:r>
    </w:p>
    <w:p>
      <w:r>
        <w:t>Reste encore à examiner la question de savoir si l'exécution du renvoi de A._______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arrêt du TAF C-662/2006 du 5 février 2009 consid. 6 et jurisprudence citée).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 La situation familiale du recourant en Suisse et, en particulier, les relations qu'il y entretient avec les membres de sa famille qui y sont domiciliés, ne sont susceptibles d'être prises en considération que lors de la phase antérieure de procédure de police des étrangers portant sur l'examen de la question du règlement des conditions de séjour de la personne concernée. Ainsi que relevé plus haut, les arguments visant à démontrer que l'étranger a un intérêt privé prépondérant à demeurer en Suisse (tels que, par exemple, les liens personnels qu'il a noués avec ce pays ou les attaches familiales qu'il y possède) s'apprécient en effet lors de la pesée des intérêts publics et privés opérée dans le cadre de la procédure cantonale d'autorisation et des voies de recours y afférentes (cf. consid. 4 supra; voir également JAAC 62.52 consid. 13.2 in fine). Des arguments de cette nature ne sauraient donc faire encore l'objet d'un examen par les autorités fédérales de police des étrangers au moment où celles-ci sont appelées à se prononcer sur l'exigibilité du renvoi au sens de l'art 14a al. 4 LSEE. En l'espèce, le recourant a mis en exergue son appartenance à l'ethnie gorani et affirmé que que la proclamation de l'indépendance du Kosovo allait provoquer la guerre civile et une épuration ethnique et que les membres de la communauté gorani seraient, dans ce contexte, exposés à de sérieux préjudices. Force est toutefois de constater que, contrairement aux prévisions pessimistes du recourant, la proclamation de l'indépendance du Kosovo, le 17 février 2008, n'a entraîné, ni guerre civile, ni conflit armé inter-ethnique. A la connaissance du Tribunal, la situation de la minorité gorani au Kosovo est depuis lors demeurée stable et il apparaît en particulier qu'à Dragash, commune dont le recourant est originaire, les autorités municipales sont en partie constituées de représentants de l'ethnie gorani, situation qui tend à démentir les allégations selon lesquelles cette communauté y serait menacée et discriminée. Par ailleurs, ni la situation régnant actuellement au Kosovo, ni la situation personnelle du recourant ne permettent à l'autorité de céans de conclure à une mise en danger concrète de l'intéressé en cas de renvoi dans son pays d'origine. En effet, le recourant n'a aucunement allégué, ni démontré qu'il encourait pour sa personne, en cas de retour dans son pays d'origine, des risques supérieurs à ceux encourus par la population y résidant. Au demeurant, les motifs résultant de difficultés consécutives à la situation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TAF D-483/2007 du 26 mars 2007). Dans ce contexte, les difficultés de réinstallation auxquelles le recourant sera confronté à son retour au Kosovo ne sont pas de nature à constituer un obstacle à l'exécution de son renvoi. Le Tribunal est en conséquence amené à conclure que l'exécution du renvoi de Suisse de A._______ doit être considérée comme raisonnablement exigible.</w:t>
      </w:r>
    </w:p>
    <w:p>
      <w:r>
        <w:rPr>
          <w:b/>
        </w:rPr>
        <w:t>E. 7</w:t>
      </w:r>
    </w:p>
    <w:p>
      <w:r>
        <w:t>Il ressort de ce qui précède que, par sa décision du 4 décembre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