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C-4296/2012 vom 27. Mai 2013</w:t>
      </w:r>
    </w:p>
    <w:p>
      <w:r>
        <w:t>Bundesverwaltungsgericht, 2013-05-27, DE</w:t>
      </w:r>
    </w:p>
    <w:p>
      <w:r>
        <w:rPr>
          <w:b/>
        </w:rPr>
        <w:t xml:space="preserve">Quelle: </w:t>
      </w:r>
      <w:r>
        <w:t>https://mcp.opencaselaw.ch/entscheid/bvger_C-4296_2012</w:t>
      </w:r>
    </w:p>
    <w:p>
      <w:r>
        <w:t>FR: TAF C-4296/2012 du 27 mai 2013</w:t>
      </w:r>
    </w:p>
    <w:p>
      <w:r>
        <w:t>IT: TAF C-4296/2012 del 27 maggio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2011/1 E. 2 mit Hinweis).</w:t>
      </w:r>
    </w:p>
    <w:p>
      <w:r>
        <w:rPr>
          <w:b/>
        </w:rPr>
        <w:t>E. 3</w:t>
      </w:r>
    </w:p>
    <w:p>
      <w:r>
        <w:t>Der angefochtenen Verfügung liegt das Gesuch eines kosovarischen Staatsangehörigen um Erteilung eines Visums für einen einmonatigen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die Republik Kosovo zu diesen Staaten zählt, unterliegt der Gesuchsteller der Visumspflicht.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Dass in der Republik Kosovo grosse Teile der Bevölkerung von wirtschaftlich ungünstigen Verhältnissen betroffen sind, kann nicht in Abrede gestellt werden. Das Durchschnittseinkommen lag 2011 bei etwa 300 Euro pro Monat. Trotz grosser internationaler Unterstützung ist es bisher nicht gelungen, eine Wachstumsdynamik einzuleiten und die Transferleistungen aus der Diaspora bilden weiterhin einen bedeutenden wirtschaftlichen Faktor. Die Arbeitslosenrate stellt eine der grössten Herausforderungen für die sozio-ökonomische Entwicklung des Landes dar. Sie liegt Schätzungen zufolge bei rund 45%, wobei in der Gruppe der 15- bis 25-Jährigen über 70% erwerbslos sind. Diese Zahlen sind angesichts des hohen Anteils der Beschäftigen im informellen Sektor jedoch etwas zu relativieren (Quelle: Deutsches Auswärtiges Amt, www.auswaertiges-amt.de &gt; Aussen- und Europapolitik &gt; Länderinformationen &gt; Kosovo &gt; Wirtschaftspolitik, Stand: April 2013, besucht im April 2013). Vor diesem Hintergrund besteht vielfach der Wille zur Auswanderung, welcher sich besonders stark bei jüngeren und ungebundenen Personen manifestiert. Ein im Ausland bereits bestehendes, minimales soziales Beziehungsnetz aus Verwandten oder Freunden ist zudem ein wichtiges Element, das den Entscheid auszuwandern noch akzentuieren kann. Dementsprechend hoch ist der Zuwanderungsdruck in der Schweiz und anderen Teilen Europas.</w:t>
      </w:r>
    </w:p>
    <w:p>
      <w:r>
        <w:rPr>
          <w:b/>
        </w:rPr>
        <w:t>E. 5.4</w:t>
      </w:r>
    </w:p>
    <w:p>
      <w:r>
        <w:t>Bei der Risikoanalyse sind allerdings nicht nur die erwähnten allgemeinen Umstände,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26-jährigen, ledigen Mann. Gemäss den Feststellungen der Schweizer Vertretung lebt er bei seinen Eltern. Damit dürften zwar gewisse familiäre Bindungen im angestammten Lebensumfeld bestehen. Eigentliche Verpflichtungen familiärer oder persönlicher Natur, die ihn von einer Emigration abhalten könnten, sind aber keine erkennbar.</w:t>
      </w:r>
    </w:p>
    <w:p>
      <w:r>
        <w:rPr>
          <w:b/>
        </w:rPr>
        <w:t>E. 6.2</w:t>
      </w:r>
    </w:p>
    <w:p>
      <w:r>
        <w:t>Im Zeitpunkt des Visumsantrags ging der Gesuchsteller einer Erwerbstätigkeit nach, dies allerdings erst seit Mitte Januar 2012. Dem im Gesuchsverfahren edierten, bis Ende 2012 befristeten Arbeitsvertrag ist zu entnehmen, dass der Gesuchsteller als Mechaniker in einer Ziegelfabrik tätig war, bei einer monatlichen Arbeitszeit von 176 Stunden und einem Stundenlohn von 1,80 Euro brutto. Über eine Verlängerung dieses Arbeitsvertrages ist nichts aktenkundig. Doch selbst wenn der Gesuchsteller heute immer noch zu den gleichen Bedingungen erwerbstätig sein sollte, könnte daraus nicht schon auf Verhältnisse geschlossen werden, die nachhaltig von einer Emigration abzuhalten vermöchten. Tatsache ist, dass der Beschwerdeführer noch nicht lange erwerbstätig ist, das Arbeitsverhältnis nicht auf Stabilität schliessen lässt und der vom Gesuchsteller dabei erzielte Lohn bestenfalls durchschnittlich ist.</w:t>
      </w:r>
    </w:p>
    <w:p>
      <w:r>
        <w:rPr>
          <w:b/>
        </w:rPr>
        <w:t>E. 6.3</w:t>
      </w:r>
    </w:p>
    <w:p>
      <w:r>
        <w:t>Kommt hinzu, dass der Gesuchsteller offenbar nicht nur den Onkel (Beschwerdeführer) in der Schweiz, sondern auch einen Bruder in Deutschland hat. Vor diesem Hintergrund kann tatsächlich nicht ausgeschlossen werden, dass er - einmal im Schengenraum - versucht sein könnte, seinen Aufenthalt auf eine ganz andere rechtliche Basis zu stellen.</w:t>
      </w:r>
    </w:p>
    <w:p>
      <w:r>
        <w:rPr>
          <w:b/>
        </w:rPr>
        <w:t>E. 6.4</w:t>
      </w:r>
    </w:p>
    <w:p>
      <w:r>
        <w:t>Vor dem allgemeinen und persönlichen Hintergrund durfte die Vorinstanz demnach davon ausgehen, dass keine hinreichende Gewähr für eine fristgerechte und anstandslose Wiederausreise des Gesuchstellers nach einem Besuchsaufenthalt besteht. An dieser Beurteilung ändert die Tatsache nichts, dass der Beschwerdeführer die rechtzeitige Rückkehr des Gesuchstellers mehrmals zugesichert hat. Die Integrität des Beschwerdeführers in seiner Eigenschaft als Gastgeber wird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