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C-4292/2010 vom 15. September 2010</w:t>
      </w:r>
    </w:p>
    <w:p>
      <w:r>
        <w:t>Bundesverwaltungsgericht, 2010-09-15, DE</w:t>
      </w:r>
    </w:p>
    <w:p>
      <w:r>
        <w:rPr>
          <w:b/>
        </w:rPr>
        <w:t xml:space="preserve">Quelle: </w:t>
      </w:r>
      <w:r>
        <w:t>https://mcp.opencaselaw.ch/entscheid/bvger_C-4292_2010</w:t>
      </w:r>
    </w:p>
    <w:p>
      <w:r>
        <w:t>FR: TAF C-4292/2010 du 15 septembre 2010</w:t>
      </w:r>
    </w:p>
    <w:p>
      <w:r>
        <w:t>IT: TAF C-4292/2010 del 15 settembre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 entgegen den beschwerdeweise getätigten Ausführungen -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 i.V.m. Art. 2 der Verordnung [EU] Nr. 265/2010 des Europäischen Parlaments und des Rates vom 25. März 2010 zur Änderung des Übereinkommens zur Durchführung des Übereinkommens von Schengen und der Verordnung [EG] Nr. 562/2006 in Bezug auf den Verkehr von Personen mit einem Visum für den längerfristigen Aufenthalt [ABI. L 85 vom 31.03.2010, S. 1]).</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haben Ausländerinnen und Ausländer zu belegen, dass sie das Land vor Ablauf der Gültigkeitsdauer des beantragten Visums wieder verlassen (vgl. Art. 14 Bst. d der Verordnung [EG] 810/2009 des Europäischen Parlaments und des Rates vom 13. Juli 2009 über einen EG-Visakodex der Gemeinschaft [EG-Visakodex], [ABI. L 243 vom 15.09.2009, S. 1]).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die Gesuchstellerin als thailändische Staatsangehörige der Visumspflicht.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Die Gesuchstellerin stammt aus Thailand. Die Wirtschaft dieses Landes hat sich nach der Asienkrise von 1997/98 deutlich erholt. Das Wachstum des Bruttoinlandproduktes belief sich 2009 auf -2.3% (nach dem tiefen Minuswachstum von -7.1% im 1. Quartal und dem Sprung von 5.8% im letzten Quartal). Die Wachstumsprognose für 2010 liegt zwischen 3.5% und 4.5%, dies jedoch unter Vorbehalt innenpolitischer Risiken, welche bereits in den Jahren 2005 bis 2008 für eine Verlangsamung des Wirtschaftswachstums sorgten (vgl. zu den wirtschaftlichen Indizes die Länder- und Reiseinformationen auf der Webseite des Auswärtigen Amtes, Länder- und Reiseinformationen &gt; Thailand &gt; Wirtschaft, &lt;http://www.auswaertiges-amt.de&gt;, Stand: April 2010, besucht im September 2010). Die grundsätzlich ermutigende wirtschaftliche Entwicklung kann nicht über die Tatsache hinwegtäuschen, dass nach wie vor breite Bevölkerungsschichten von vergleichsweise schwierigen ökonomischen und sozialen Lebensbedingungen betroffen sind. Das Bruttoinlandprodukt (BIP) pro Kopf betrug im Jahre 2009 nur gerade USD 4'401 (vgl. Staatssekretariat für Wirtschaft &gt; Themen &gt; Aussenwirtschaft &gt; Länderinformationen &gt; Asien/Ozeanien &gt; Thailand, &lt;http://www.seco.admin.ch&gt;, Stand: März 2009, besucht im September 2010).</w:t>
      </w:r>
    </w:p>
    <w:p>
      <w:r>
        <w:rPr>
          <w:b/>
        </w:rPr>
        <w:t>E. 6.4</w:t>
      </w:r>
    </w:p>
    <w:p>
      <w:r>
        <w:t>Vor dem Hintergrund der fortbestehenden ungünstigen Lebensverhältnisse ist - vor allem in der jüngeren Bevölkerung - ein starker Migrationsdruck festzustellen.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 Im Falle der Schweiz führt dies angesichts der restriktiven Zulassungsregelung oftmals zur Umgehung ausländerrechtlicher Bestimmungen. Dabei wird nicht selten versucht, den Aufenthalt zu verlängern oder - beispielsweise durch Ausbildung oder Heirat - auf eine andere migrationsrechtliche Grundlage zu stellen.</w:t>
      </w:r>
    </w:p>
    <w:p>
      <w:r>
        <w:rPr>
          <w:b/>
        </w:rPr>
        <w:t>E. 7.1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7.2</w:t>
      </w:r>
    </w:p>
    <w:p>
      <w:r>
        <w:t>Bei der Gesuchstellerin handelt es sich um eine 49-jährige, geschiedene Frau. Unklarheiten bestehen bezüglich ihrer familiärer Verhältnisse: Sie selbst hat in ihrem Visumsgesuch vom 11. März 2010 keine Angaben zu allfälligen Kindern getätigt. Beschwerdeweise wird hingegen geltend gemacht, ihre Familie und insbesondere ihr Adoptivkind würden in Bangkok leben. Weiterführende Erläuterungen zur konkreten familiären Situation sowie zur Betreuungssituation des Adoptivkindes fehlen hingegen. Es kann jedoch in Anbetracht der ursprünglich beantragten Aufenthaltsdauer von drei Monate ohne weiteres davon ausgegangen werden, die Fürsorge des 10-jährigen Adoptivkindes sei auch während der Abwesenheit der Gesuchstellerin gewährleistet.</w:t>
      </w:r>
    </w:p>
    <w:p>
      <w:r>
        <w:rPr>
          <w:b/>
        </w:rPr>
        <w:t>E. 7.3</w:t>
      </w:r>
    </w:p>
    <w:p>
      <w:r>
        <w:t>In beruflicher Hinsicht machen die Beschwerdeführer geltend, die Eingeladene sei Besitzerin eines mittelgrossen Restaurants in Bang-kok. Entsprechende Beweismittel, welche die effektiven wirtschaftlichen Verhältnisse der Gesuchstellerin belegen, haben die Beschwerdeführer nicht eingereicht. Gewisse Vorbehalte sind deshalb durchaus angebracht. Dies umso mehr, als die Gesuchstellerin selbst in ihrem Visumsgesuch vom 11. März 2010 keine Angaben zu ihrer beruflichen Tätigkeit machte, sondern besagtes Feld ("Derzeitige berufliche Tätigkeit") leer gelassen hat. Gestützt auf die bestehenden Akten kann auch nicht von der Vermutung ausgegangen werden, die Gesuchstellerin befinde sich in vorteilhaften und stabilen wirtschaftlichen Verhältnissen, die sie verlässlich von einer Emigration abzuhalten vermöchten.</w:t>
      </w:r>
    </w:p>
    <w:p>
      <w:r>
        <w:rPr>
          <w:b/>
        </w:rPr>
        <w:t>E. 8</w:t>
      </w:r>
    </w:p>
    <w:p>
      <w:r>
        <w:t>Aufgrund obgenannter Ausführungen sind bei der Gesuchstellerin keine eigentlichen Verpflichtungen erkennbar, welche die Prognose einer fristgerechten und anstandslosen Wiederausreise nach einem Besuchsaufenthalt begünstigen könnten. Vor diesem Hintergrund fällt umso mehr ins Gewicht, dass die Gesuchstellerin anlässlich früherer Besuchsaufenthalte in der Schweiz - entgegen den Aussagen der Beschwerdeführer - nicht rechtzeitig nach Thailand zurückkehrte und in einem Fall sogar weggewiesen werden musste (vgl. Schreiben der Fremdenpolizei des Kantons Bern vom 4. Februar 1999). Nicht auszuschliessen ist, dass die Eingeladene auch nach erneuter Einreise in die Schweiz geneigt sein könnte, sich über die beantragte Visumdauer hinaus in der Schweiz aufzuhalten. In diesem Zusammenhang kann auch die Erklärung des Beschwerdeführers nicht gehört werden, er sei anstelle des beantragten dreimonatigen Aufenthalts mit einem einmonatigen Besuchsaufenthalt der Gesuchstellerin in der Schweiz einverstanden (vgl. Stellungnahme vom 1. September 2010).</w:t>
      </w:r>
    </w:p>
    <w:p>
      <w:r>
        <w:rPr>
          <w:b/>
        </w:rPr>
        <w:t>E. 9</w:t>
      </w:r>
    </w:p>
    <w:p>
      <w:r>
        <w:t>Vor dem allgemeinen und persönlichen Hintergrund durfte die Vorinstanz demnach davon ausgehen, dass keine hinreichende Gewähr für eine fristgerechte und anstandslose Wiederausreise der Gesuchstellerin nach einem Besuchsaufenthalt besteht. Daran kann auch die Hinterlegung einer Barkaution von Fr. 5'000.- nichts ändern, wie sie der Beschwerdeführer replikweise anbietet (vgl. dazu Urteil des Bundesverwaltungsgerichts C-7005/2007 vom 25. Juni 2009 E. 9). Als Gastgeber kann er zwar für gewisse finanzielle Risiken im Zusammenhang mit dem Besuchsaufenthalt Garantie leisten. Für ein bestimmtes Verhalten der Eingeladenen kann er aber - mangels rechtlicher und faktischer Durchsetzbarkeit - nicht garantieren.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(BVGE 2009/27 E. 9).</w:t>
      </w:r>
    </w:p>
    <w:p>
      <w:r>
        <w:rPr>
          <w:b/>
        </w:rPr>
        <w:t>E. 10</w:t>
      </w:r>
    </w:p>
    <w:p>
      <w:r>
        <w:t>Aus den dargelegten Gründen ist daher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11</w:t>
      </w:r>
    </w:p>
    <w:p>
      <w:r>
        <w:t>Entsprechend dem Ausgang des Verfahrens werden die unterliegenden Beschwerdeführer kostenpflichtig (Art. 63 Abs. 1 VwVG). Die Verfahrenskosten sind auf Fr. 700.- festzusetzen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