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C-4291/2013 vom 18. Juli 2014</w:t>
      </w:r>
    </w:p>
    <w:p>
      <w:r>
        <w:t>Bundesverwaltungsgericht, 2014-07-18, DE</w:t>
      </w:r>
    </w:p>
    <w:p>
      <w:r>
        <w:rPr>
          <w:b/>
        </w:rPr>
        <w:t xml:space="preserve">Quelle: </w:t>
      </w:r>
      <w:r>
        <w:t>https://mcp.opencaselaw.ch/entscheid/bvger_C-4291_2013</w:t>
      </w:r>
    </w:p>
    <w:p>
      <w:r>
        <w:t>FR: TAF C-4291/2013 du 18 juillet 2014</w:t>
      </w:r>
    </w:p>
    <w:p>
      <w:r>
        <w:t>IT: TAF C-4291/2013 del 18 luglio 2014</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2013/33 E. 2 mit Hinweisen).</w:t>
      </w:r>
    </w:p>
    <w:p>
      <w:r>
        <w:rPr>
          <w:b/>
        </w:rPr>
        <w:t>E. 3.1</w:t>
      </w:r>
    </w:p>
    <w:p>
      <w:r>
        <w:t>Das BFM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3.2</w:t>
      </w:r>
    </w:p>
    <w:p>
      <w:r>
        <w:t>Das in Art. 67 AuG geregelte Einreiseverbot bildet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Ein Verstoss gegen die öffentliche Sicherheit und Ordnung liegt u.a. vor, wenn gesetzliche Vorschriften oder behördliche Verfügungen missachtet werden (vgl. Art. 80 Abs. 1 Bst. a der Verordnung vom 24. Oktober 2007 über Zulassung, Aufenthalt und Erwerbstätigkeit [VZAE, SR 142.201]).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das Urteil des BVGer C 820/2009 vom 9. März 2011 E. 5 mit Hinweisen).</w:t>
      </w:r>
    </w:p>
    <w:p>
      <w:r>
        <w:rPr>
          <w:b/>
        </w:rPr>
        <w:t>E. 3.3</w:t>
      </w:r>
    </w:p>
    <w:p>
      <w:r>
        <w:t>Die Vorinstanz hat in der angefochtenen Verfügung die Ausschrei­bung des Einreiseverbots im SIS angeordnet. Nach Art. 21 und Art. 24 der Verordnung (EG) Nr. 1987/2006 vom 20. Dezember 2006 über die Einrichtung, den Betrieb und die Nutzung des Schengener Informa­tionssystems der zweiten Generation (SIS II, Abl. L 381 vom 28. Dezember 2006, S. 4 23; nachfolgend SIS-II-VO), welche per 9. April 2013 die in den hier relevanten Punkten gleichlautenden Art. 94 und Art. 96 des Schengener Durchführungsübereinkommens [SDÜ, Abl. L 239 vom 22. September 2000, S. 19-62] abgelöst ha­ben (vgl. den Beschluss des Rates 2013/158/EU vom 7. März 2013, Abl. L 87 vom 27. März 2013, S. 10 11 i.V.m. Art. 52 Abs. 1 SIS-II-VO), wird ein Einreiseverbot gegen eine Person, die nicht das Bürgerrecht ei­nes EU-Staates besitzt, nach Massgabe der Bedeutung des Falles im SIS ausgeschrieben. Die Ausschreibung bewirkt grundsätzlich, dass der Person die Einreise in das Hoheitsgebiet aller Schengen-Mitgliedstaa­ten verboten ist (vgl. Art. 5 Abs 1 Bst. d und Art. 13 Abs. 1 Schengener Grenzkodex [SGK], Abl. L 105 vom 13. April 2006, S. 1-32). Die Mitglied­staaten können einer solchen Person aus humanitären Gründen oder Gründen des nationalen Interesses oder wegen internationaler Ver­pflich­tungen aber die Einreise in das eigene Hoheitsgebiet gestatten bzw. ihr ein Schengen-Visum mit räumlich beschränkter Gültigkeit ausstellen (vgl. Art. 13 Abs. 1 i.V.m. Art. 5 Abs. 4 Bst. c SGK sowie Art. 25 Abs. 1 Bst. a [ii] Visakodex, Abl. L 243 vom 15. September 2009).</w:t>
      </w:r>
    </w:p>
    <w:p>
      <w:r>
        <w:rPr>
          <w:b/>
        </w:rPr>
        <w:t>E. 3.4</w:t>
      </w:r>
    </w:p>
    <w:p>
      <w:r>
        <w:t>In einem Verfahren betreffend Bewilligungswiderruf hat das Bundesgericht in grundlegender Weise eine ausgefällte Freiheitsstrafe von mehr als einem Jahr als eine - einen Widerrufsgrund nach Art. 62 Bst. b erster Satzteil AuG darstellende - "längerfristige Freiheitsstrafe" qualifiziert (vgl. BGE 137 II 297 E. 2 S. 299 ff.). A fortiori kann im Zusammenhang mit der Verhängung einer Fernhaltemassnahme an diese Rechtsprechung angeknüpft werden bzw. eine solche Freiheitsstrafe im Rahmen der zu stellenden Prognose gewürdigt werden.</w:t>
      </w:r>
    </w:p>
    <w:p>
      <w:r>
        <w:rPr>
          <w:b/>
        </w:rPr>
        <w:t>E. 4.1</w:t>
      </w:r>
    </w:p>
    <w:p>
      <w:r>
        <w:t>Der Beschwerdeführer wurde bereits kurz nach seiner Einreise in die Schweiz, im Alter von 31 Jahren, erstmals straffällig. Dreimal ergingen Verurteilungen wegen Widerhandlung gegen die Betäubungsmittelgesetzgebung, wobei eine klare Steigerung seiner diesbezüglichen strafrechtlichen Verfehlungen festzustellen ist (zwei Monate im Jahr 2005, 14 Monate im Jahr 2006, zwei Jahre im Jahr 2010). Seine schwerste Straftat verübte er gar nach der Heirat einer Schweizerbürgerin im November 2007. In Bezug auf diese letzte Verurteilung steht sodann fest, dass er insgesamt 361.6 Gramm Kokain zusammen mit Fr. 15'009.80 von Bern nach Genf transportiert hat. Obwohl von der Gesamtmenge 11.6 Gramm in seinen Unterhosen gefunden worden waren, bestritt der Beschwerdeführer lange Zeit, von diesen Drogen gewusst zu haben. Bereits alleine mit dieser letzten, unbedingten Verurteilung wurde die Grenze zur längerfristigen Freiheitstrafe gemäss Art. 62 Bst. b AuG deutlich überschritten (vgl. Urteil des BGer 2C_778/2011 vom 24. Februar 2012 E. 3.1 mit Hinweisen). Zudem wurde er im Jahr 2005 wegen Gewalt und Drohung gegen Behörden und Beamte mit 20 Tagen Gefängnis, im Jahr 2009 wegen Geldwäscherei und Erleichtern des rechtswidrigen Aufenthalts mit 200 Stunden gemeinnütziger Arbeit und ebenfalls im Jahr 2009 wegen Förderung der rechtswidrigen Einreise oder des rechtswidrigen Aufenthalts mit einer Geldstrafe von 30 Tagessätzen verurteilt. Damit ist der Fernhaltegrund der Störung der öffentlichen Sicherheit und Ordnung gemäss Art. 67 Abs. 2 Bst. a AuG ohne weiteres gegeben.</w:t>
      </w:r>
    </w:p>
    <w:p>
      <w:r>
        <w:rPr>
          <w:b/>
        </w:rPr>
        <w:t>E. 4.2</w:t>
      </w:r>
    </w:p>
    <w:p>
      <w:r>
        <w:t>In Bezug auf die Betäubungsmitteldelinquenz des Beschwerdeführers gilt es des Weiteren zu berücksichtigen, dass die Drogenkriminalität nebst Gewalt- und Sexualdelikten zu den Ver­haltensweisen gehört, die besonders hochrangige Rechtsgüter betreffen und die daher aus präventivpolizeilicher Sicht einen strengen Beurteilungsmass­stab rechtfertigen (BGE 131 II 352 E. 4.3.1 S. 359 f. und BGE 125 II 521 E. 4a/aa S. 526 f.; Ur­teil des BGer 2A.308/2004 vom 4. Oktober 2004 E. 3.3; Wurzburger, La jurisprudence récente du Tribunal fédéral en ma­tière de police des étrangers, in: RDAF 53/1997 I, S. 42). Das bedeutet un­ter anderem, dass zum Schutz der Rechtsgenossinnen und Rechtsgenossen nur ein geringes Ri­siko des Rückfalls einer einschlägig vorbestraften Person in Kauf genom­men werden darf (vgl. etwa Urteil des BVGer C-4620/2011 vom 12. März 2013 E. 5.3 mit Hinweis). Verurteilungen zu Freiheitsstrafen wegen Drogendelikten sind selbstredend als Verstoss gegen die öffentliche Sicherheit und Ordnung im Sinne von Art. 67 Abs. 2 Bst. a AuG zu werten und führen in aller Regel - selbst bei lediglich einer Verurteilung - zur Anordnung von (zum Teil langen) Fernhaltemassnahmen (siehe Urteil des BVGer C-3254/2012 vom 14. November 2012 E. 4.3 mit Hinweisen).</w:t>
      </w:r>
    </w:p>
    <w:p>
      <w:r>
        <w:rPr>
          <w:b/>
        </w:rPr>
        <w:t>E. 4.3</w:t>
      </w:r>
    </w:p>
    <w:p>
      <w:r>
        <w:t>Was das Verschulden des Beschwerdeführers angeht, so kann dieses mit Blick auf seine wiederholten strafrechtlichen Verfehlungen praktisch während der gesamten Zeit seiner Anwesenheit in der Schweiz als schwer beurteilt werden. Augenscheinlich fällt ins Gewicht, dass der Beschwerdeführer seit seiner Ankunft straffällig wurde und die Intensität der der (Betäubungsmittel-)Delikte stetig stieg. Es kann nicht von einer tendenziellen Besserung des Verhaltens des Beschwerdeführers ausgegangen werden. Erschwerend fällt ins Gewicht, dass er sich weder durch laufende Probezeiten noch durch Untersuchungshaft bzw. das Verbüssen von Freiheitsstrafen oder anderen Sanktionen von seinem deliktischen Tun hat abbringen lassen. Sein Verhalten zeugt von Unbelehrbarkeit, Einsichtslosigkeit und einer nicht hinnehmbaren Gleichgültigkeit gegenüber der hiesigen Rechtsordnung. Es muss folglich davon ausgegangen werden, dass in der Person des Beschwerdeführers auch der Fernhaltegrund der Gefährdung der öffentlichen Sicherheit und Ordnung gegeben ist.</w:t>
      </w:r>
    </w:p>
    <w:p>
      <w:r>
        <w:rPr>
          <w:b/>
        </w:rPr>
        <w:t>E. 4.4</w:t>
      </w:r>
    </w:p>
    <w:p>
      <w:r>
        <w:t>Nachdem die Vorinstanz gegen den Beschwerdeführer ein zehnjähriges Einreiseverbot ausgesprochen hat, ist im Folgenden - ungeachtet des Fehlens einer diesbezüglichen substantiierten Rüge des anwaltlich vertretenen Beschwerdeführers - noch vor der später vorzunehmenden Interessenabwägung von Amtes wegen zu prüfen, ob das Kriterium der schwerwiegenden Gefahr gemäss Art. 67 Abs. 3 AuG erfüllt ist.</w:t>
      </w:r>
    </w:p>
    <w:p>
      <w:r>
        <w:rPr>
          <w:b/>
        </w:rPr>
        <w:t>E. 4.5</w:t>
      </w:r>
    </w:p>
    <w:p>
      <w:r>
        <w:t>Gemäss Art. 67 Abs. 3 AuG wird die Fernhaltemassnahme in der Regel für maximal fünf Jahre angeordnet. Nur wenn die betroffene Person eine schwerwiegende Gefahr für die öffentliche Sicherheit und Ordnung darstellt, kann eine längere Dauer verfügt werden. Eine schwerwiegende Gefahr kann sich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auch aus der Tatsache, dass keine günstige Prognose gestellt werden kann, ergeben. Die zu befürchtenden Delikte müssen einzeln oder in ihrer Gesamtheit das Potenzial haben, um eine aktuelle und schwerwiegende Gefahr zu begründen (vgl. BGE 139 II 121 E. 6.3; BVGE 2013/4 E. 7.2.4; Urteile des BVGer C 760/2012 vom 24. Juli 2013 E. 9.4.1 und C-3091/2011 E. 6.1.5).</w:t>
      </w:r>
    </w:p>
    <w:p>
      <w:r>
        <w:rPr>
          <w:b/>
        </w:rPr>
        <w:t>E. 4.6</w:t>
      </w:r>
    </w:p>
    <w:p>
      <w:r>
        <w:t>Vorweg ist klarzustellen, dass eine Störung der öffentlichen Sicherheit und Ordnung durch zunehmend schwerere Drogendelinquenz, wie vom Beschwerdeführer verursacht, eine schwerwiegende Gefahr im Sinne von Art. 67 Abs. 3 zweiter Satz AuG darstellen kann. Voraussetzung ist, dass die Wahrscheinlichkeit ihrer Realisierung hinreichend gross ist. Sie muss signifikant höher sein, als die, welche der Annahme einer rechtlich relevanten Gefahr im Sinne von Art. 67 Abs. 2 Bst. a AuG zugrunde liegt. Davon kann vorliegend ausgegangen werden. Die Anwesenheit des Beschwerdeführers ist gezeichnet durch regelmässiges mittelschweres bis schweres deliktisches Fehlverhalten. Dabei liess er sich weder durch seinen unsicheren Aufenthaltsstatus noch durch die wiederholten Verurteilungen beeindrucken. Auch die Ehe mit einer Schweizerbürgerin vermochte daran nichts zu ändern, sodass er seine schwerste Straftat gar erst nach der Heirat am 30. November 2007 verübt hat, wohl wissend, dass er damit auch seiner Ehegattin schaden würde. Dabei fällt insbesondere negativ ins Gewicht, dass es ihm spätestens mit der Heirat und der damit verbundenen Aufenthaltsbewilligung möglich gewesen wäre, einer geregelten Arbeit nachzugehen. Der Beschwerdeführer hat es jedoch vorgezogen, sein Einkommen auf deliktischem Wege zu generieren. Die ihm vom Strafrichter attestierten egoistischen Beweggründe und die Gewinnsucht vermochten selbst durch eine stabile familiäre, aufenthaltsrechtliche und finanzielle Situation nicht gebannt werden. Dies lässt sein Verhalten in einem gewissen Grad auch als unberechenbar erscheinen. Sodann weigerte sich der Beschwerdeführer im Strafverfahren zu kooperieren. Noch während des aufenthaltsrechtlichen Verfahrens versuchte er sein Handeln zu bagatellisieren, indem er angab, nichts von den Drogen gewusst zu haben. Offensichtlich ist ihm die Schwere seines Fehlverhaltens nicht bewusst. Entsprechend zeigte sich das Strafgericht wenig zuversichtlich und attestierte ihm eine negative Prognose (letztinstanzlich bestätigt durch das BGer), weshalb es eine vorzeitige Entlassung aus dem Strafvollzug, wenngleich diese den Regelfall darstellt, verneinte (vgl. Urteil des BGer 6B_621/2011 vom 19. Dezember 2011 E. 3.3). Das Bundesgericht gelangte in seinem Urteil 2C_170/2013 vom 20. Juni 2013 betreffend Widerruf der Aufenthaltsbewilligung zum selben Schluss. In dessen E. 3.2 wird festgehalten, die Vorinstanz sei zu Recht von einer fortdauernden (Rückfall-) Gefahr ausgegangen.</w:t>
      </w:r>
    </w:p>
    <w:p>
      <w:r>
        <w:rPr>
          <w:b/>
        </w:rPr>
        <w:t>E. 4.7</w:t>
      </w:r>
    </w:p>
    <w:p>
      <w:r>
        <w:t>Als Zwischenergebnis ist festzustellen, dass der Beschwerdeführer eine schwerwiegende Gefahr für die öffentliche Sicherheit und Ordnung darstellt. Dies rechtfertigt grundsätzlich eine Überschreitung der fünfjährigen Regelhöchstdauer des Einreiseverbots gemäss Art. 67 Abs. 3 AuG.</w:t>
      </w:r>
    </w:p>
    <w:p>
      <w:r>
        <w:rPr>
          <w:b/>
        </w:rPr>
        <w:t>E. 5</w:t>
      </w:r>
    </w:p>
    <w:p>
      <w:r>
        <w:t>Zu prüfen ist sodann,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Häfelin/Müller/Uhlmann, Allgemeines Verwaltungsrecht, 6. Aufl. 2010, Rz. 613 ff.).</w:t>
      </w:r>
    </w:p>
    <w:p>
      <w:r>
        <w:rPr>
          <w:b/>
        </w:rPr>
        <w:t>E. 5.1</w:t>
      </w:r>
    </w:p>
    <w:p>
      <w:r>
        <w:t>Das Fehlverhalten des Beschwerdeführers wiegt aus präventivpolizeilicher Sicht schwer (zur Zulässigkeit der Berücksichtigung generalpräventiver Aspekte in Konstellationen, in denen wie hier kein sog. Vertragsausländer betroffen ist, vgl. Urteil des Bundesgerichts 2C_282/2012 vom 31. Juli 2012 E. 2.5 mit Hinweisen). Ausländische Drogenhändler, die durch Verbreitung harter Drogen die Gesundheit anderer gefährden oder beeinträchtigen, sind nach Möglichkeit von der Schweiz fernzuhalten. Damit soll der weiteren Ausbreitung des verbotenen Handels mit Betäubungsmitteln entgegengewirkt werden. Aufgrund der relativen Häufigkeit solcher Taten ist zum Schutz der Allgemeinheit durch eine kontinuierliche und strenge Verwaltungspraxis zu verdeutlichen, dass jedenfalls schwere Widerhandlungen gegen das Betäubungsmittelgesetz mit langjährigen Fernhaltemassnahmen geahndet werden. Der Schutz der öffentlichen Sicherheit und Gesundheit ist dabei durch Abschreckung nicht nur des jeweiligen Straftäters, sondern auch anderer potenzieller Rechtsbrecher weitest möglich zu gewährleisten (zur strengen Praxis des BGer siehe ferner BGE 131 II 352 E. 4.3.1 S. 359 f. mit Hinweis, Urteile des BGer 2C_282/2012 vorerwähnt sowie 2C_768/2011 vom 4. Mai 2012 E. 4.3 und 2C_1029/2011 vom 10. April 2012 E. 3.3.1).</w:t>
      </w:r>
    </w:p>
    <w:p>
      <w:r>
        <w:rPr>
          <w:b/>
        </w:rPr>
        <w:t>E. 5.2</w:t>
      </w:r>
    </w:p>
    <w:p>
      <w:r>
        <w:t>Angesichts seines Fehlverhaltens in der Vergangenheit (vgl. Ausführungen in E. 4.) muss auf eine rechtlich relevante Gefahr weiterer Störungen geschlossen werden. Es bleibt daher festzustellen, dass die vergangenen Störungen der öffentlichen Sicherheit und Ordnung sowie die rechtserhebliche Gefahr weiterer Störungen ein gewichtiges, general- und spezialpräventiv motiviertes Interesse an einer längerfristigen Fernhaltung des Beschwerdeführers begründen.</w:t>
      </w:r>
    </w:p>
    <w:p>
      <w:r>
        <w:rPr>
          <w:b/>
        </w:rPr>
        <w:t>E. 5.3</w:t>
      </w:r>
    </w:p>
    <w:p>
      <w:r>
        <w:t>Grundsätzlich gilt, dass selbst ein vergleichsweise geringes Restrisiko eines Rückfalles in Fällen, bei denen aus egoistischen Beweggründen und aus Gewinnsucht gehandelt wird, nicht hingenommen werden (vgl. Urteil des BGer 2C_282/2012 vorerwähnt E. 2.5 mit Hinweisen). Die Rückfallgefahr wird sodann durch eine gute Führung im Strafvollzug allein nicht gebannt. Angesichts der in einer Strafvollzugsanstalt vorhandenen, engmaschigen Betreuung und intensiven Kontrolle wird ein tadelloses Verhalten eines Insassen dort allgemein erwartet und lässt gemeinhin keine verlässlichen Rückschlüsse auf das künftige Verhalten in Freiheit zu (siehe etwa Urteil des BGer 2C_768/2011 vom 4. Mai 2012 E. 4.3 mit Hinweisen). Mit Blick auf die öffentlichen Sicherheitsinteressen der Schweiz steht stattdessen die Dauer des klaglosen Verhaltens in Freiheit im Vordergrund. Für die Berechnung besagter Zeitspanne ist hierbei nicht auf den Begehungs- oder Urteilszeitpunkt abzustellen. Von vorrangiger Bedeutung erscheint vielmehr, wie lange sich eine straffällig gewordene Person nach ihrer Entlassung aus der Haft bewährt hat (vgl. BVGE 2008/24 E. 6.2). Der Beschwerdeführer befand sich nach Verbüssen seiner Strafe während weniger Monate in der Schweiz in Freiheit, bis er am 2. August 2013 ausreiste. Dass er sich während dieser verhältnismässig kurzen Zeit nichts zu Schulden kommen liess, vermag an der weiterhin bestehenden besonderen Gefahrenlage nichts zu ändern. Gerade das vorliegende Beispiel - nicht süchtige Person, die in geordneten Verhältnissen lebt und trotzdem so lange dem Drogenhandel nachging, bis sie in flagranti erwischt wurde - zeigt im Übrigen, dass eine Wiederholungsgefahr im fraglichen Bereich keineswegs nur bei der sog. Beschaffungskriminalität zu bejahen ist. Unter dem spezifischen Aspekt des Ausländerrechts (vgl. dazu BGE 137 II 233 E. 5.2.2 S. 236 f.) muss er folglich noch über Jahre hinweg als Risikofaktor für die öffentliche Sicherheit und Ordnung betrachtet werden. In seinem Urteil 2C_170/2013 hielt das Bundesgericht zudem fest, es bestehe ein erhebliches Interesse - nicht (nur) an der Entfernung, sondern - an der Fernhaltung des Beschwerdeführers.</w:t>
      </w:r>
    </w:p>
    <w:p>
      <w:r>
        <w:rPr>
          <w:b/>
        </w:rPr>
        <w:t>E. 6</w:t>
      </w:r>
    </w:p>
    <w:p>
      <w:r>
        <w:t>Hinsichtlich seiner persönlichen Interessen argumentiert der Beschwerdeführer, das Einreiseverbot stelle einen unzulässigen Eingriff in sein Privat- und Familienleben nach Art. 8 EMRK dar. Seine Gattin und die gemeinsame Tochter seien Schweizer Staatsbürgerinnen. Durch das Einreiseverbot würde er kaum etwas von den ersten zehn Lebensjahren seiner Tochter haben. Zudem verweist er auf die angebliche Unzumutbarkeit für ihn und seine Angehörigen nach Gambia auszureisen.</w:t>
      </w:r>
    </w:p>
    <w:p>
      <w:r>
        <w:rPr>
          <w:b/>
        </w:rPr>
        <w:t>E. 6.1</w:t>
      </w:r>
    </w:p>
    <w:p>
      <w:r>
        <w:t>Es ist nicht von der Hand zu weisen, dass die Ausreise des Beschwerdeführers für die Betroffenen mit einigen Nachteilen verbunden ist. Ein Zusammenleben in der Schweiz wird allerdings nicht erst durch die verhängte Fernhaltemassnahme, sondern in erster Linie durch den Widerruf der Aufenthaltsbewilligung verunmöglicht. Allfällige Einschränkungen des Privat- bzw. Familienlebens können im vorliegenden Zusammenhang aufgrund sachlicher und funktioneller Unzuständigkeit des Bundesverwaltungsgerichts nicht Verfahrensgegenstand sein, soweit sie auf das Fehlen eines dauerhaften Aufenthaltsrechts in der Schweiz zurückzuführen sind. Die Erteilung und Verlängerung von Aufenthaltsbewilligungen fällt grundsätzlich in die Zuständigkeit der Kantone, wobei im Falle einer Bewilligungserteilung das bestehende Einreiseverbot aufzuheben wäre. Die Aufenthaltsbewilligung des Beschwerdeführers wurde von der kantonalen Migrationsbehörde am 12. April 2011 widerrufen (letztinstanzlich bestätigt durch das Urteil des BGer vom 20. Juni 2013). Die Pflege regelmässiger Kontakte zu den engsten Familienangehörigen in der Schweiz scheitert damit bereits am fehlenden Anwesenheitsrecht (zum Ganzen vgl. BVGE 2013/4 E. 7.4.1 mit Hinweisen). Somit stellt sich nurmehr die Frage, ob das über die Verweigerung des Aufenthaltsrechts hinausgehende, durch die Einreiseverbot zusätzlich bewirkte Erschwernis vor Art. 8 EMRK und Art. 13 Abs. 1 BV standhält.</w:t>
      </w:r>
    </w:p>
    <w:p>
      <w:r>
        <w:rPr>
          <w:b/>
        </w:rPr>
        <w:t>E. 6.2</w:t>
      </w:r>
    </w:p>
    <w:p>
      <w:r>
        <w:t>Wie vom BFM in der angefochtenen Verfügung erwähnt, bestehen die Wirkungen des Einreiseverbots nicht darin, dem Beschwerdeführer während der Geltungsdauer der Massnahme Besuchsaufenthalte bei ihm nahe stehenden Personen in der Schweiz schlichtweg zu untersagen. Er hat vielmehr die Möglichkeit, aus humanitären oder anderen wichtigen Gründen mittels Gesuchs die zeitweilige Suspension der angeordneten Fernhaltemassnahme zu beantragen (Art. 67 Abs. 5 AuG). Die Suspension wird aber praxisgemäss nur für eine kurze und klar begrenzte Zeit gewährt und sie darf das Einreiseverbot nicht aushöhlen (vgl. BVGE 2013/4 E. 7.4.3 mit Hinweisen).</w:t>
      </w:r>
    </w:p>
    <w:p>
      <w:r>
        <w:rPr>
          <w:b/>
        </w:rPr>
        <w:t>E. 6.3</w:t>
      </w:r>
    </w:p>
    <w:p>
      <w:r>
        <w:t>Vor diesem Hintergrund ist davon auszugehen, dass der Kontakt zwischen dem Beschwerdeführer und seiner Familie während der Dauer des Einreiseverbots bis zu einem gewissen Grad mit kontrollierten befristeten Besuchsaufenthalten in der Schweiz wird aufrechterhalten werden können. Hierzu muss sich der Beschwerdeführer zunächst während einiger Zeit im Ausland bewähren. Daneben ist der Gattin und der Tochter zumutbar, den Beschwerdeführer zu besuchen und den Kontakt auch mittels Telefon und modernen Kommunikationsmittel zu pflegen (BVGE 2013/4 E. 7.4.3). In diesem Umfang und Rahmen wird den geltend gemachten privaten Interessen Rechnung getragen. Hinzuzufügen wäre, dass die Ehegatten sich zum Zeitpunkt der Familiengründung bewusst sein mussten, dass ein künftiges Zusammenleben der Familie in der Schweiz als Folge der Straffälligkeit des Beschwerdeführers realistischerweise nicht ohne weiteres mehr möglich sein würde. Die Zeugung der gemeinsamen Tochter erfolgte gar erst nach Erlass der aufenthaltsbeendenden Verfügung am 12. April 2011. In dieser war noch explizit festgehalten worden: "Da die beiden in der Schweiz auch keine Familie mit Kinder begründen, kann sich Assan Jobe gegen die Wegweisung aus der Schweiz auch nicht auf den Schutz des Familienlebens im Sinne von Art. 8 EMRK berufen". Inwiefern diese Beurteilung Einfluss auf die nachfolgende Zeugung des gemeinsamen Kindes hatte, kann offen gelassen werden. Dem mitzuberücksichtigenden Wohl der neugeborenen Tochter (vgl. Art. 3 Abs. 1 der Kinderrechtskonvention und den deckungsgleichen [hier aber nicht zur Anwendung gelangenden] Art. 24 der Charta der Grundrechte der Europäischen Union) wird unter den konkreten Begebenheiten mithin Genüge getan. Abgesehen davon schafft das verfassungs- und konventionsrechtlich garantierte Grundrecht auf Familienleben keine ortsbezogenen Rechte (vgl. BGE 130 II 281 E. 3.1 S. 285 f.). Darüber hinausgehend wurden die weiteren Fragen betreffend Konsequenzen für die Betroffenen bei einer Rückkehr des Beschwerdeführers ins Heimatland (ebenso wie der Voraufenthalt des Massnahmebelasteten und dessen Bindungen zur Schweiz) bereits im Verfahren bezüglich Widerrufs der Aufenthaltsbewilligung abgehandelt und bilden in casu nicht Verfahrensgegenstand (vgl. das diesbezügliche Urteil des BGer 2C_1029/2011 vom 10. April 2012 E. 3.3.2 - 3.3.4).</w:t>
      </w:r>
    </w:p>
    <w:p>
      <w:r>
        <w:rPr>
          <w:b/>
        </w:rPr>
        <w:t>E. 6.4</w:t>
      </w:r>
    </w:p>
    <w:p>
      <w:r>
        <w:t>Selbst wenn von einem unter dem Gesichtspunkt von Art. 13 Abs. 1 BV und Art. 8 EMRK relevanten Eingriff ausgegangen würde, wäre ein solcher in Anbetracht der aufgelisteten Aspekte gestützt auf Art. 8 Ziff. 2 EMRK als gerechtfertigt zu erachten. Das deliktische Verhalten des Beschwerdeführers erreicht zweifellos die erforderliche Schwere, um unter besagtem Blickwinkel einen Eingriff in das Privat- und Familienleben zu begründen (vgl. Urteil des BVGer C-3593/2009 vom 18. Juni 2012 E. 7.3 mit Hinweisen).</w:t>
      </w:r>
    </w:p>
    <w:p>
      <w:r>
        <w:rPr>
          <w:b/>
        </w:rPr>
        <w:t>E. 7</w:t>
      </w:r>
    </w:p>
    <w:p>
      <w:r>
        <w:t>Eine umfassende, wertende Gewichtung der sich gegenüberstehenden Interessen führt das Bundesverwaltungsgericht zum Schluss, dass das auf zehn Jahre erlassene Einreiseverbot eine verhältnismässige und angemessene Massnahme zum Schutz der öffentlichen Sicherheit und Ordnung darstellt.</w:t>
      </w:r>
    </w:p>
    <w:p>
      <w:r>
        <w:rPr>
          <w:b/>
        </w:rPr>
        <w:t>E. 8</w:t>
      </w:r>
    </w:p>
    <w:p>
      <w:r>
        <w:t>Der Beschwerdeführer ist Drittstaatsangehöriger im Sinne von Art. 3 Bst. d SIS-II-VO. Aufgrund der Ausschreibung des Einreiseverbots im SIS ist es ihm in der Tat untersagt, den Schengen-Raum zu betreten (siehe E. 5 vorstehend). Der darin liegende Eingriff ist aber durch die Bedeutung des Falles gerechtfertigt (vgl. Art. 21 i.V.m. Art. 24 Abs. 2 SIS-II-VO). Diese Feststellung gilt umso mehr, als die Schweiz im Geltungsbe­reich des Schengen-Rechts die Interessen der Ge­samtheit aller Schengen-Staaten zu wahren hat (BVGE 2011/48 E. 6.1). Im Übrigen wird die Ausschrei­bung eines Einreiseverbots im SIS periodisch auf seine Berechtigung überprüft und hindert einen Schengen-Staat nicht daran, der ausgeschriebenen Person die Einreise in das eigene Hoheitsge­biet aus humanitären Gründen, Gründen des nationalen Interes­ses oder aufgrund völkerrechtlicher Verpflichtungen zu gestatten (Art. 5 Abs. 4 Bst. d SGK). Überdies gilt die SIS-Ausschreibung nicht für alle europäischen Länder, sondern nur für den Schengen-Raum. Die Voraussetzungen für die Ausschreibung des Einreiseverbots sind demnach erfüllt.</w:t>
      </w:r>
    </w:p>
    <w:p>
      <w:r>
        <w:rPr>
          <w:b/>
        </w:rPr>
        <w:t>E. 9</w:t>
      </w:r>
    </w:p>
    <w:p>
      <w:r>
        <w:t>Aus diesen Erwägungen folgt, dass die angefochtene Verfügung im Lichte von Art. 49 VwVG nicht zu beanstanden ist. Die Beschwerde ist deshalb abzuweisen.</w:t>
      </w:r>
    </w:p>
    <w:p>
      <w:r>
        <w:rPr>
          <w:b/>
        </w:rPr>
        <w:t>E. 10</w:t>
      </w:r>
    </w:p>
    <w:p>
      <w:r>
        <w:t>Entsprechend dem Ausgang des Verfahrens sind die Kosten dem Beschwerdeführer aufzuerlegen (vgl. Art. 63 Abs. 1 VwVG i.V.m. Art. 1 ff. des Reglements vom 21. Februar 2008 über die Kosten und Entschädigungen vor dem Bundesverwaltungsgericht [VGKE, SR 173.320.2]). Dispositiv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