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C-4287/2010 vom 24. November 2010</w:t>
      </w:r>
    </w:p>
    <w:p>
      <w:r>
        <w:t>Bundesverwaltungsgericht, 2010-11-24, DE</w:t>
      </w:r>
    </w:p>
    <w:p>
      <w:r>
        <w:rPr>
          <w:b/>
        </w:rPr>
        <w:t xml:space="preserve">Quelle: </w:t>
      </w:r>
      <w:r>
        <w:t>https://mcp.opencaselaw.ch/entscheid/bvger_C-4287_2010</w:t>
      </w:r>
    </w:p>
    <w:p>
      <w:r>
        <w:t>FR: TAF C-4287/2010 du 24 novembre 2010</w:t>
      </w:r>
    </w:p>
    <w:p>
      <w:r>
        <w:t>IT: TAF C-4287/2010 del 24 novembre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7</w:t>
      </w:r>
    </w:p>
    <w:p>
      <w:r>
        <w:t>Anhang I zur Verordnung (EG) Nr. 539/2001 des Rates vom 15. März 2001 listet diejenigen Staaten auf, deren Staatsangehörige beim Überschreiten der Aussengrenzen der Schengen-Mitgliedstaaten im Besitze eines Visums sein müssen (ABl. L 81 vom 21.03.2001, S. 1-7). Da Thailand zu diesen Staaten zählt, unterliegt die Gesuchstellerin der Visumpflicht.</w:t>
      </w:r>
    </w:p>
    <w:p>
      <w:r>
        <w:rPr>
          <w:b/>
        </w:rPr>
        <w:t>E. 8.1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8.2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8.2.1</w:t>
      </w:r>
    </w:p>
    <w:p>
      <w:r>
        <w:t>In Thailand sind - vorab in den ländlichen Gebieten des Nordostens, aus denen die Gesuchstellerin stammt - breite Bevölkerungsschichten von kargen ökonomischen und sozialen Lebensbedingungen betroffen. Die Region der Nordostprovinzen gilt im landesweiten Vergleich als ärmste der insgesamt sechs Regionen (vgl. www.thaiweb-sites.com &gt; Economy and Politics in Thailand &gt; GDP of Thai Regions and Provinces).</w:t>
      </w:r>
    </w:p>
    <w:p>
      <w:r>
        <w:rPr>
          <w:b/>
        </w:rPr>
        <w:t>E. 8.2.2</w:t>
      </w:r>
    </w:p>
    <w:p>
      <w:r>
        <w:t>Vom Druck zur wirtschaftlichen Existenzsicherung sind dabei häufig Frauen besonders betroffen, die mit ihrem Einkommen oft für die Überlebenschancen ihrer eigenen Haushalte und ganzer Gemeinden sorgen müssen und deren Arbeitsplätze in Zeiten angespannter wirtschaftlicher Verhältnisse - je nach Sektor - besonders gefährdet sind. Entsprechend hat die wirtschaftlich motivierte Emigration von Thailänderinnen nach 1997 zugenommen (Quelle: Schlussbericht vom 13. Mai 2002 der Kommission des Deutschen Bundestags zum Thema Globalisierung der Weltwirtschaft - Herausforderungen und Antworten, Ziff. 6.2.2.2 S. 317 f., online abrufbar als Bundesdrucksache 14/9200 unter www.bundestag.de &gt; Dokumente &amp; Recherche &gt; Drucksachen).</w:t>
      </w:r>
    </w:p>
    <w:p>
      <w:r>
        <w:rPr>
          <w:b/>
        </w:rPr>
        <w:t>E. 8.3</w:t>
      </w:r>
    </w:p>
    <w:p>
      <w:r>
        <w:t>Im Falle der Schweiz wird die Tendenz zur Imigration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w:t>
      </w:r>
    </w:p>
    <w:p>
      <w:r>
        <w:rPr>
          <w:b/>
        </w:rPr>
        <w:t>E. 8.4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9.1</w:t>
      </w:r>
    </w:p>
    <w:p>
      <w:r>
        <w:t>Bei der Gesuchstellerin handelt es sich um eine 30-jährige, unverheiratete Frau und Mutter einer inzwischen 5-jährigen Tochter. Ansonsten ist über die persönlichen und familiären Verhältnisse, in denen sie lebt, nichts bekannt. Zu Recht hat die Vorinstanz in der angefochtenen Verfügung darauf verwiesen, dass aus dem Kindsver-hältnis zwar einerseits auf gewisse Verpflichtungen geschlossen werden könnte, welche andererseits angesichts der geplanten langen Auslandabwesenheit wieder zu relativieren sind. Der Beschwerdeführer äusserte sich nicht zu dieser Feststellung. Ganz allgemein gilt zu bedenken, dass die Existenz eigener Kinder häufig nicht daran hindert, den Entschluss zur Emigration zu fassen. Denn ein solcher Entschluss ist oft mit der Hoffnung verbunden, nahe Angehörige aus dem Ausland besser unterstützen und später allenfalls nachziehen zu können.</w:t>
      </w:r>
    </w:p>
    <w:p>
      <w:r>
        <w:rPr>
          <w:b/>
        </w:rPr>
        <w:t>E. 9.2</w:t>
      </w:r>
    </w:p>
    <w:p>
      <w:r>
        <w:t>Die Gesuchstellerin ist gemäss den Angaben des Beschwerdeführers in einem familieneigenen, mehr als 10 Hektaren umfassenden Landwirtschaftsbetrieb beschäftigt. Über das Mass ihrer Mitarbeit, das daraus erzielte Einkommen und darüber, was der Betrieb insgesamt abwirft und wieviele Leute davon leben, ist nichts aktenkundig. Der Umstand, dass die Gesuchstellerin offenbar bereits im Jahre 2009 mehrere Monate zusammen mit dem Beschwerdeführer in Thailand unterwegs war und für dieses Jahr einen dreimonatigen Auslandaufenthalt plante, lässt zumindest nicht davon ausgehen, die Anwesenheit und Mithilfe im Betrieb sei von grosser Wichtigkeit. Alles in allem sind demnach auch in den beruflichen und wirtschaftlichen Umständen keine Besonderheiten ersichtlich, die eine Emigration als unwahr-scheinlich erscheinen liessen.</w:t>
      </w:r>
    </w:p>
    <w:p>
      <w:r>
        <w:rPr>
          <w:b/>
        </w:rPr>
        <w:t>E. 9.3</w:t>
      </w:r>
    </w:p>
    <w:p>
      <w:r>
        <w:t>Vor dem aufgezeigten persönlichen und allgemeinen Hintergrund durfte die Vorinstanz demnach davon ausgehen, dass keine hinreichende Gewähr für eine fristgerechte und anstandslose Wiederausreise der Gesuchstellerin nach einem Besuchsaufenthalt besteht. An dieser Beurteilung vermag der Hinweis des Beschwerdeführers auf die von ihm eingegangene Verpflichtungserklärung nichts zu ändern. Diese umfasst ausschliesslich das Risiko ungedeckter Kosten im Zusammenhang mit dem beabsichtigten Besuchsaufenthalt und ist betragsmässig nach oben beschränkt (Art. 8 VEV). Demgegenüber kann der Beschwerdeführer in seiner Rolle als Gastgeber für ein bestimmtes Tun oder Unterlassen seines Gastes nicht rechtswirksam einstehen (vgl. zum Ganzen BVGE 2009/27 E. 9). In diesem Zusammenhang bleibt festzuhalten, dass der Beschwerdeführer die Gesuchstellerin erst seit Januar 2009 und damit noch nicht besonders lange kennt. Daran vermag auch der Umstand nichts zu ändern, dass er gemäss eigenen Aussagen im letzten Jahr einige Monate mit seinem Gast in Thailand verbracht hat. Bei dieser Sachlage wird selbst der Beschwerdeführer gewisse Vorbehalte anbringen müssen, wenn es darum geht, mögliche Entwicklungen in den Wünschen und Vorstellungen der Gesuchstellerin betreffend ihre kurz- und mittelfristige Lebensgestaltung einschätzen zu können.</w:t>
      </w:r>
    </w:p>
    <w:p>
      <w:r>
        <w:rPr>
          <w:b/>
        </w:rPr>
        <w:t>E. 10</w:t>
      </w:r>
    </w:p>
    <w:p>
      <w:r>
        <w:t>Aus vorstehenden Erwägungen folgt, dass die angefochtene Verfügung im Lichte von Art. 49 VwVG nicht zu beanstanden ist. Die Beschwerde ist daher abzuweisen.</w:t>
      </w:r>
    </w:p>
    <w:p>
      <w:r>
        <w:rPr>
          <w:b/>
        </w:rPr>
        <w:t>E. 11</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