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C-4286/2011 vom 20. März 2012</w:t>
      </w:r>
    </w:p>
    <w:p>
      <w:r>
        <w:t>Bundesverwaltungsgericht, 2012-03-20, FR</w:t>
      </w:r>
    </w:p>
    <w:p>
      <w:r>
        <w:rPr>
          <w:b/>
        </w:rPr>
        <w:t xml:space="preserve">Quelle: </w:t>
      </w:r>
      <w:r>
        <w:t>https://mcp.opencaselaw.ch/entscheid/bvger_C-4286_2011</w:t>
      </w:r>
    </w:p>
    <w:p>
      <w:r>
        <w:t>FR: TAF C-4286/2011 du 20 mars 2012</w:t>
      </w:r>
    </w:p>
    <w:p>
      <w:r>
        <w:t>IT: TAF C-4286/2011 del 20 marzo 2012</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 voir également sur cette question et par rapport à la disposition de l'art. 27 LEtr applicable à la présente cause l'arrêt du Tribunal fédéral 2C_802/2010 du 22 octobre 2010 consid. 4 et réf. citée).</w:t>
      </w:r>
    </w:p>
    <w:p>
      <w:r>
        <w:rPr>
          <w:b/>
        </w:rPr>
        <w:t>E. 1.2</w:t>
      </w:r>
    </w:p>
    <w:p>
      <w:r>
        <w:t>A moins que la LTAF n'en dispose autrement, la procédure devant le TAF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(cf. ATAF 2011/1 consid. 2 p. 4 et jurisprudence citée).</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 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4.2 En l'espèce,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circulaires &gt; Domaine des étrangers &gt; 1 Procédure et compétences, version 30.09.2011; consulté en mars 2012). Il s'ensuit que ni le TAF, ni l'ODM ne sont liés par la proposition de l'OCP du 24 février 2011 et peuvent parfaitement s'écarter de l'appréciation faite par cette autorité. 5.1 Les art. 27 à 29 LEtr régissent les conditions de séjour en Suisse des étrangers sans activité lucrative (étrangers admis en vue d'une formation ou d'un perfectionnement, rentiers et étrangers admis en vue d'un traitement médical). 5.2 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5.3 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6.1</w:t>
      </w:r>
    </w:p>
    <w:p>
      <w:r>
        <w:t>Dans le cas d'espèce, le refus de l'ODM de donner son approbation à l'octroi, en faveur de B._______, d'une autorisation d'entrée et de séjour en Suisse destinée à lui permettre d'y acquérir une formation au sens de l'art. 27 LEtr est en partie motivé par le fait que sa sortie de Suisse, au terme du séjour envisagé, ne peut être considérée comme suffisamment assurée.</w:t>
      </w:r>
    </w:p>
    <w:p>
      <w:r>
        <w:rPr>
          <w:b/>
        </w:rPr>
        <w:t>E. 6.2</w:t>
      </w:r>
    </w:p>
    <w:p>
      <w:r>
        <w:t>Comme évoqué précédemment, il y a lieu à cet égard de préciser que le droit applicable à la présente cause consiste en l'actuel art. 27 LEtr, dans sa teneur du 1er janvier 2011. Du fait des modifications apportées à l'ancienne version de cette disposition, qui visent avant tout à favoriser l'accès au marché du travail suisse des étudiants étrangers qui ont achevé leurs études en Suisse en y obtenant un diplôme d'une haute école lorsque l'activité lucrative qu'ils entendent exercer revêt un intérêt scientifique ou économique prépondérant, l'assurance du départ de Suisse (telle que prévue dans l'ancien art. 27 al. 1 let. d LEtr; RO 2007 5443) ne constitue plus une condition d'admission en vue d'une formation ou d'un perfectionnement. Sont déterminants désormais le niveau de formation et les qualifications personnelles requis pour suivre la formation ou le perfectionnement prévus (cf. Rapport de la Commission des institutions politiques du Conseil national du 5 novembre 2009 concernant l'initiative parlementaire pour faciliter l'admission et l'intégration des étrangers diplômés d'une haute école suisse, FF 2010 p. 383 et 385).</w:t>
      </w:r>
    </w:p>
    <w:p>
      <w:r>
        <w:rPr>
          <w:b/>
        </w:rPr>
        <w:t>E. 6.3</w:t>
      </w:r>
    </w:p>
    <w:p>
      <w:r>
        <w:t>Indépendamment de ce qui précède, il importe de souligner que même dans l'hypothèse où les conditions prévues à l'art. 27 LEtr (disposition rédigée en la forme potestative ou "Kann-Vorschrift") seraient réunies, la recourante ne dispose d'aucun droit à la délivrance d'une telle autorisation de séjour,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(cf. art. 96 LEtr). Cela étant, sous l'angle de ce libre pouvoir d'appréciation, il convient encore d'examiner si la demande d'autorisation de séjour pour études déposée par l'intéressée est opportune et ne vise pas plutôt à éluder les prescriptions générales sur l'admission et le séjour des étrangers (cf. en ce sens l'art. 23 al. 2 OASA). A cet égard, les autorités doivent continuer, nonobstant les modifications apportées à l'art. 27 LEtr (cf. consid. 6.2 ci-dessus), d'avoir la possibilité de vérifier que la demande n'a pas pour unique but d'obtenir frauduleusement un visa pour entrer en Suisse ou dans l'Espace Schengen (cf. Rapport précité de la Commission des institutions politiques du Conseil national p. 385). Dans ce contexte, il convient de rappeler que si l'étranger prévoit un séjour temporaire, il doit apporter la garantie qu'il quittera la Suisse (art. 5 al. 2 LEtr).</w:t>
      </w:r>
    </w:p>
    <w:p>
      <w:r>
        <w:rPr>
          <w:b/>
        </w:rPr>
        <w:t>E. 6.4</w:t>
      </w:r>
    </w:p>
    <w:p>
      <w:r>
        <w:t>Il ressort des pièces du dossier que B._______ s'est engagée à retourner dans son pays d'origine une fois sa formation achevée (cf. engagement écrit du 10 octobre 2010) et qu'elle dispose à Genève d'un tiers (oncle) qui s'est déclaré disposé à la loger et à faire face aux dépenses liées à son séjour en Suisse (cf. attestation de prise en charge financière du 21 février 2011). La déclaration d'intention du 10 octobre 2010 ne saurait toutefois constituer une garantie définitive quant à la sortie effective de Suisse de l'intéressée à l'échéance de l'autorisation de séjour pour études qui lui serait éventuellement octroyée. D'une part, en effet, cet engagement n'emporte aucun effet juridique contraignant (cf. ATAF 2009/27 consid.9) et ne suffit pas à garantir que son départ interviendra dans les délais prévus. D'autre part, le Tribunal relève que l'on ne saurait exclure qu'au terme de la formation supérieure envisagée en Suisse, l'intéressée ne cherche en réalité, en dépit des assurances contraires qu'elle a données, à poursuivre son séjour en Suisse pour se perfectionner, y prendre un emploi ou pour saisir toute autre opportunité de se constituer de meilleures conditions d'existence que celle de son pays d'origine, sans que cela ne présente pour elle de difficultés majeures sur les plans personnel ou familial ou professionnel. Pareille crainte apparaît d'autant plus fondée, dans le cas d'espèce, que le père de B._______, C._______, est précédemment venu en Suisse dans le cadre d'un visa touristique, mais qu'il y a ensuite déposé une demande d'asile, avant d'obtenir finalement une autorisation de séjour en raison de son mariage avec une ressortissante suisse. Il s'impose de constater par ailleurs à ce sujet que C._______ avait obtenu son visa d'entrée en Suisse sur la base d'une invitation du recourant lui-même et qu'il s'était également engagé, par une déclaration écrite, à quitter la Suisse à l'issue de son séjour touristique. Compte tenu de ce précédent, il apparaît légitime de mettre en doute la crédibilité des affirmations du recourant, selon lesquelles B._______ n'entendait d'aucune façon prolonger son séjour en Suisse, si elle était autorisée à y entreprendre des études. Dès lors et compte tenu également des explications inconsistantes fournies par B._______ au sujet de sa motivation à entreprendre des études universitaires en Suisse plutôt que dans son pays, le Tribunal est amené à conclure que l'ODM était fondé à considérer que la venue en Suisse de la prénommée visait à éluder les prescriptions générales sur l'admission et le séjour des étrangers au sens de l'art. 23 al. 2 OASA.</w:t>
      </w:r>
    </w:p>
    <w:p>
      <w:r>
        <w:rPr>
          <w:b/>
        </w:rPr>
        <w:t>E. 6.5</w:t>
      </w:r>
    </w:p>
    <w:p>
      <w:r>
        <w:t>Sur un autre plan, le Tribunal relève encore que la prise en charge financière du séjour d'études envisagé n'apparaît pas clairement établie. Il appert ainsi que, lors de son audition à l'Ambassade de Suisse à Kinshasa, B._______ a indiqué que c'était son père résidant en Suisse qui prendrait en charge ses frais de séjour et d'études. Aucune pièce n'est toutefois venue confirmer cette allégation et c'est finalement le recourant lui-même qui a signé, le 21 février 2011, une attestation de prise en charge financière, limitée toutefois à une période de deux ans et à un montant de 30'000 frs. En considération du fait que B._______ envisageait un séjour d'études d'une durée de trois à cinq ans, l'engagement financier du recourant n'apparaît pas suffisant à démontrer que sa nièce disposerait, en l'espèce, de moyens financiers suffisants au sens de l'art. 27 al. 1 let. c pour couvrir tous les frais liés à un séjour en Suisse d'une telle durée.</w:t>
      </w:r>
    </w:p>
    <w:p>
      <w:r>
        <w:rPr>
          <w:b/>
        </w:rPr>
        <w:t>E. 6.6</w:t>
      </w:r>
    </w:p>
    <w:p>
      <w:r>
        <w:t>Il convient de remarquer enfin que le fait que B._______ ait entrepris des démarches administratives en vue de son admission à la Faculté des lettres de l'Université de Neuchâtel ne peut avoir d'incidence déterminante pour l'appréciation du cas. Les dispositions ainsi prises par la prénommée ne sauraient lier les autorités fédérales, qui, sous réserve de l'existence d'un droit - qui n'existe pas en l'espèce - à l'octroi d'un titre de séjour fondé sur une disposition particulière de la législation fédérale ou d'un traité, statuent librement sur l'octroi d'une autorisation d'entrée ou d'une autorisation de séjour en Suisse (cf. l'arrêt du Tribunal fédéral 2D_13/2009 du 9 mars 2009 consid. 2). 7.Au vu des considérations évoquées plus haut, il ne saurait donc être fait grief à l'ODM d'avoir excédé ou abusé de son pouvoir d'appréciation en retenant que les conditions posées en la matière n'étaient pas remplies dans le cas d'espèce. Le refus d'approbation à l'octroi de l'autorisation de séjour sollicitée prononcé par l'autorité inférieure doit donc être confirmé. La recourante n'obtenant pas d'autorisation de séjour, c'est également à bon droit que l'ODM a refusé de lui délivrer une autorisation d'entrée en Suisse destinée à lui permettre de se rendre en ce pays pour y étudier. 8.Il ressort de ce qui précède que la décision de l'ODM du 24 juin 2011 est conforme au droit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