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C-4285/2010 vom 20. September 2012</w:t>
      </w:r>
    </w:p>
    <w:p>
      <w:r>
        <w:t>Bundesverwaltungsgericht, 2012-09-20, DE</w:t>
      </w:r>
    </w:p>
    <w:p>
      <w:r>
        <w:rPr>
          <w:b/>
        </w:rPr>
        <w:t xml:space="preserve">Quelle: </w:t>
      </w:r>
      <w:r>
        <w:t>https://mcp.opencaselaw.ch/entscheid/bvger_C-4285_2010</w:t>
      </w:r>
    </w:p>
    <w:p>
      <w:r>
        <w:t>FR: TAF C-4285/2010 du 20 septembre 2012</w:t>
      </w:r>
    </w:p>
    <w:p>
      <w:r>
        <w:t>IT: TAF C-4285/2010 del 20 settembre 2012</w:t>
      </w:r>
    </w:p>
    <w:p>
      <w:pPr>
        <w:pStyle w:val="Heading2"/>
      </w:pPr>
      <w:r>
        <w:t>Regeste</w:t>
      </w:r>
    </w:p>
    <w:p>
      <w:r>
        <w:t>Betäubungsmittel</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Vorinstanzen gemäss Art. 33 VGG erlassen wurden. Das Schweizerische Heilmittelinstitut Swissmedic ist eine Vorinstanz im Sinn von Art. 33 Bst. e VGG. Beim angefochtenen Entscheid handelt es sich um eine Verfügung im Sinn von Art. 5 VwVG, welche gemäss Art. 84 Abs. 1 des Heilmittelgesetzes vom 15. Dezember 2000 (HMG, SR 812.21) in Verbindung mit Art. 47 Abs. 1 Bst. b VwVG beim Bundesverwaltungsgericht angefochten werden kann. Da keine Ausnahme im Sinn von Art. 32 VGG vorliegt, ist das Bundesverwaltungsgericht für die Behandlung der vorliegenden Beschwerde zuständig.</w:t>
      </w:r>
    </w:p>
    <w:p>
      <w:r>
        <w:rPr>
          <w:b/>
        </w:rPr>
        <w:t>E. 1.2</w:t>
      </w:r>
    </w:p>
    <w:p>
      <w:r>
        <w:t>Die Beschwerdeführerin hat am Verfahren vor der Vorinstanz teilgenommen. Sie ist durch die angefochtene Verfügung besonders berührt und hat an deren Aufhebung oder Änderung ein schutzwürdiges Interesse im Sinn von Art. 48 Abs. 1 VwVG. Sie ist daher zur Beschwerdeführung legitimiert.</w:t>
      </w:r>
    </w:p>
    <w:p>
      <w:r>
        <w:rPr>
          <w:b/>
        </w:rPr>
        <w:t>E. 1.3</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1.4</w:t>
      </w:r>
    </w:p>
    <w:p>
      <w:r>
        <w:t>Das Bundesverwaltungsgericht prüft die angefochtene Verfügung auf die Verletzung von Bundesrecht hin, einschliesslich der Überschreitung oder des Missbrauchs des Er­messens, der unrichtigen oder unvoll­ständigen Feststellung des rechtser­heblichen Sachverhalts und der Un­an­­gemes­senheit (Art. 49 VwVG).</w:t>
      </w:r>
    </w:p>
    <w:p>
      <w:r>
        <w:rPr>
          <w:b/>
        </w:rPr>
        <w:t>E. 1.5</w:t>
      </w:r>
    </w:p>
    <w:p>
      <w:r>
        <w:t>Nach ständiger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BGE 135 II 296 E. 4.4.3, BGE 133 II 35 E. 3, BGE 128 V 159 E. 3b/cc). Es stellt daher keine unzulässige Kognitionsbeschränkung dar, wenn das Gericht - das nicht als Fachgericht ausgestaltet ist - nicht ohne Not von der Auffassung der Vorinstanz abweicht, soweit es um die Beurteilung technischer, wirt­schaftlicher oder wissenschaftlicher Spezialfragen geht, in denen die Vorinstanz über ein besonderes Fachwissen verfügt (vgl. BGE 135 II 296 E. 4.4.3, BGE 133 II 35 E. 3 mit Hinweisen, vgl. auch Entscheid 2C_407/2009 des BGer vom 18. Januar 2010, E. 2.2.1 mit Hinweisen; siehe zum Ganzen auch Yvo Hangartner, Behör­denrechtliche Kognitionsbeschränkungen in der Verwaltungsrechts-pflege, in: Benoît Bovay/Minh Son Nguyen [Hrsg.], Mélanges en l'honneur de Pierre Moor, Bern 2005, S. 326 f.; Reto Feller/Markus Müller, Die Prüfungszuständigkeit des Bundesver­wal­tungs­gerichts - Probleme der praktischen Umsetzung, in: Schwei­ze­risches Zentralblatt für Staats- und Verwaltungsrecht [ZBl] 110/2009 S. 442 ff.). In Bezug auf die vorliegende Materie ist eine derartige Zurückhaltung jedoch nicht angezeigt.</w:t>
      </w:r>
    </w:p>
    <w:p>
      <w:r>
        <w:rPr>
          <w:b/>
        </w:rPr>
        <w:t>E. 1.6</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1.7</w:t>
      </w:r>
    </w:p>
    <w:p>
      <w:r>
        <w:t>Die angefochtene Verfügung wurde am 18. Mai 2010 erlassen und die am 12. Juni 2010 der Schweizerischen Post übergebene Beschwerde wurde rechtzeitig eingereicht (vgl. Art. 22a Abs. 1 Bst. a VwVG in Verbindung mit Art. 50 Abs. 1 VwVG). Da auch die Vorschriften gemäss Art. 52 Abs. 1 VwVG (Inhalt und Form der Beschwerde) erfüllt und der Kostenvorschuss fristgerecht geleistet worden ist, ist auf die Beschwerde grundsätzlich einzutreten. Zu beachten ist jedoch Folgendes:</w:t>
      </w:r>
    </w:p>
    <w:p>
      <w:r>
        <w:rPr>
          <w:b/>
        </w:rPr>
        <w:t>E. 1.8.1</w:t>
      </w:r>
    </w:p>
    <w:p>
      <w:r>
        <w:t>Betreffend die in Ziff. 5 des Dispositivs der angefochtenen Verfügung vom 18. Mai 2010 festgelegte Gültigkeitsdauer vom 19. Mai 2010 bis 31. Dezember 2013 wurde beschwerdeweise geltend gemacht, die fünfjährige Gültigkeitsdauer beginne am 19. Mai 2010 und würde bis zum 18. Mai 2015 dauern. Zwar besteht hinsichtlich des Beginns am 19. Mai 2010 eine übereinstimmende Auffassung der Parteien, jedoch nicht betreffend das Ende der Gültigkeitsdauer. Streitig und zu prüfen ist somit einerseits, ob die Vorinstanz die Dauer der Bewilligung zu Recht nur bis zum 31. Dezember 2013 verfügt resp. ob die Beschwerdeführerin Anspruch auf eine Gültigkeitsdauer bis zum 18. Mai 2015 hat.</w:t>
      </w:r>
    </w:p>
    <w:p>
      <w:r>
        <w:rPr>
          <w:b/>
        </w:rPr>
        <w:t>E. 1.8.2</w:t>
      </w:r>
    </w:p>
    <w:p>
      <w:r>
        <w:t>Betreffend die in Ziff. 6 des Dispositivs der angefochtenen Verfügung vom 18. Mai 2010 erhobenen Gebühren in der Höhe von Fr. 500.- führte die Beschwerdeführerin beschwerdeweise aus, es verstosse gegen den Grundsatz von Treu und Glauben, wenn gebührenfreie Zwischenverfügungen im Nachhinein "aufgehoben" und rückwirkend Gebühren verrechnet würden; in den Zwischenverfügungen werde mit keinem Wort erwähnt, dass allfällige Gebühren zu einem späteren Zeitpunkt erhoben würden (B-act. 1). Streitig und zu prüfen ist somit andererseits, ob die Gebühren in der Höhe von Fr. 500.- zu Recht erhoben wurden.</w:t>
      </w:r>
    </w:p>
    <w:p>
      <w:r>
        <w:rPr>
          <w:b/>
        </w:rPr>
        <w:t>E. 1.8.3</w:t>
      </w:r>
    </w:p>
    <w:p>
      <w:r>
        <w:t>Die Vorinstanz vertrat in ihrer Vernehmlassung vom 16. August 2010 (B-act. 4) die Auffassung, dass die verfügte Resolutivbedingung nicht Gegenstand des vorliegenden Verfahrens bilde. Auch die Beschwerdeführerin war in ihrer Replik vom 1. Oktober 2010 (B-act. 8) derselben Ansicht. Mit anderen Worten wurde die Ziff. 3 des Dispositivs der angefochtenen Verfügung vom 18. Mai 2010 (act. 325 bis 333) nicht angefochten und ist in Rechtskraft erwachsen.</w:t>
      </w:r>
    </w:p>
    <w:p>
      <w:r>
        <w:rPr>
          <w:b/>
        </w:rPr>
        <w:t>E. 1.8.4</w:t>
      </w:r>
    </w:p>
    <w:p>
      <w:r>
        <w:t>Hinsichtlich des am 11. Juni 2010 beschwerdeweise gestellten Antrags, es sei der Standort F._______ in die Bewilligung mit einzubeziehen (B-act. 1), ist festzuhalten, dass die Vorinstanz mit Verfügung vom 9. Juli 2010 die Ziff. 2 des Dispositivs der angefochtenen Verfügung vom 18. Mai 2010 insofern abgeändert hatte, als dass - auf Antrag der Kantonsapothekerin des Kantons E._______ vom 25. Mai 2010 - (zusätzlich) die Bewilligung für den Standort F._______ erteilt wurde. Die Beschwerde vom 11. Juni 2010 ist somit bezüglich dieses Standortes gegenstandslos geworden und abzuschreiben, was im Übrigen auch von der Beschwerdeführerin in deren Replik vom 1. Oktober 2010 nicht in Frage gestellt, sondern vielmehr explizit bestätigt worden war.</w:t>
      </w:r>
    </w:p>
    <w:p>
      <w:r>
        <w:rPr>
          <w:b/>
        </w:rPr>
        <w:t>E. 1.8.5</w:t>
      </w:r>
    </w:p>
    <w:p>
      <w:r>
        <w:t>Die Ziff. 1 (Inhaberin der Bewilligung), 4 (Anhänge) und 7 (Gültigkeitsdatum [ab 19. Mai 2010]/Ersetzen der Bewilligung der Vorinstanz vom 4. Januar 2010) wurden nicht angefochten und bilden ebenfalls nicht Gegenstand des vorliegenden Beschwerdeverfahrens.</w:t>
      </w:r>
    </w:p>
    <w:p>
      <w:r>
        <w:rPr>
          <w:b/>
        </w:rPr>
        <w:t>E. 1.9.1</w:t>
      </w:r>
    </w:p>
    <w:p>
      <w:r>
        <w:t>Hinsichtlich der mit Eingabe vom 14. Dezember 2010 beantragten Vereinigung der Verfahren C-4284/2010 und C-4285/2010 (B-act. 15) ist festzustellen, dass grundsätzlich jeder vorinstanzliche Entscheid ein selbstständiges Anfechtungsobjekt bildet und deshalb einzeln anzufechten ist. In Abweichung von diesem Grundsatz können getrennt eingereichte Beschwerden ausnahmsweise in einem Verfahren vereinigt werden, wenn die einzelnen Sachverhalte in einem engen inhaltlichen Zusammenhang stehen und sich in allen Fällen gleiche oder ähnliche Rechtsfragen stellen (vgl. André Moser/Michael Beusch/Lorenz Kneubühler, Prozessieren vor dem Bundesverwaltungsgericht, Lausanne, Zürich und Bern, Juli 2008, Rz. 3.17). Im vorliegenden Verfahren C-4285/2010 führt die A._______ AG Beschwerde gegen die sie betreffende Verfügung vom 18. Mai 2010 und im Verfahren C-4284/2010 die X._______ AG gegen die sie betreffende Verfügung gleichen Datums. Es handelt sich somit um unterschiedliche juristische Personen bzw. Beschwerdeführerinnen, die je die sie betreffende Verfügung angefochten haben, weshalb keine Veranlassung besteht, die Verfahren zu vereinigen (vgl. hierzu bzw. zur Erledigung zweier Beschwerden in einem Urteil BGE 128 V 126 E. 1 und 128 V 194 E. 1).</w:t>
      </w:r>
    </w:p>
    <w:p>
      <w:r>
        <w:rPr>
          <w:b/>
        </w:rPr>
        <w:t>E. 2</w:t>
      </w:r>
    </w:p>
    <w:p>
      <w:r>
        <w:t>Betreffend die anwendbaren Normen in zeitlicher Hinsicht ergibt sich vorab Folgendes:</w:t>
      </w:r>
    </w:p>
    <w:p>
      <w:r>
        <w:rPr>
          <w:b/>
        </w:rPr>
        <w:t>E. 2.1</w:t>
      </w:r>
    </w:p>
    <w:p>
      <w:r>
        <w:t>Gemäss Lehre und bundesgerichtlicher Rechtsprechung ist in aller Regel vom Rechtszustand auszugehen, wie er sich im Zeitpunkt des Erlasses der angefochtenen Verfügung dargestellt hat - soweit nicht Übergangsbestimmungen eine andere Regelung vorsehen (zu den allgemeinen intertemporalrechtlichen Grundsätzen vgl. etwa BGE 125 II 591 E. 5e aa mit Hinweisen). Im Laufe des Beschwerdeverfahrens eingetretene Rechtsänderungen sind an sich unbeachtlich, es sei denn, zwingende Gründe sprächen für die sofortige Anwendung des neuen Rechts. Das trifft vor allem dann zu, wenn Vorschriften um der öffentlichen Ordnung willen oder zur Durchsetzung erheblicher öffentlicher Interessen erlassen worden sind, die auch in hängigen Beschwerdeverfahren zu beachten sind - wie dies insbesondere bei gewissen Vorschriften der Umweltschutzgesetzgebung der Fall ist (vgl. BGE 129 II 497 E. 5.3.2, 127 II 306 E. 7, 126 II 522 E. 3b mit Hinweisen; Ulrich Häfelin/Georg Müller/Felix Uhlmann, Allgemeines Verwaltungsrecht, 6. Aufl., Zürich/Ba-sel/Genf 2010, Rz. 322 ff., S. 69 ff.).</w:t>
      </w:r>
    </w:p>
    <w:p>
      <w:r>
        <w:rPr>
          <w:b/>
        </w:rPr>
        <w:t>E. 2.2</w:t>
      </w:r>
    </w:p>
    <w:p>
      <w:r>
        <w:t>Gemäss Art. 86 der Verordnung über die Betäubungsmittelkontrolle vom 25. Mai 2011 (BetmKV, SR 812.121.1) wurden unter anderem die Betäubungsmittelverordnung vom 29. Mai 1996 (im Folgenden: BetmV; AS 1996 1679, 2001 3133, 2004 4037 Ziff. I 1, 2007 1469 Anhang 4 Ziff. 38 und 2008 5577 5583; Ziff. 1) und die Vorläuferverordnung vom 29. Mai 1996 (AS 1996 1705, 2001 3152, 2007 1469 Anhang 4 Ziff. 39; Ziff. 3) aufgehoben. Bestehende Bewilligungen, die vor Inkrafttreten dieser Verordnung - unter Vorbehalt von Art. 89 Abs. 2 BetmKV - am 1. Juli 2011 (Art. 89 Abs. 1 BetmKV) ausgestellt wurden, bleiben gültig (Art. 88 Abs. 2 BetmKV).</w:t>
      </w:r>
    </w:p>
    <w:p>
      <w:r>
        <w:rPr>
          <w:b/>
        </w:rPr>
        <w:t>E. 2.3</w:t>
      </w:r>
    </w:p>
    <w:p>
      <w:r>
        <w:t>Es finden sich keine Übergangsbestimmungen, welche die sofortige Anwendung der neuen Bestimmungen der BetmKV in laufenden Beschwerdeverfahren vorsehen, weshalb der vorliegende Rechtsstreit - mit Blick auf den Verfügungszeitpunkt (18. Mai 2010) im Lichte der am 1. Juli 1996 in Kraft getretenen und bis Ende Juni 2011 gültig gewesenen BetmV (vgl. E. 2.2 hiervor) zu prüfen ist.</w:t>
      </w:r>
    </w:p>
    <w:p>
      <w:r>
        <w:rPr>
          <w:b/>
        </w:rPr>
        <w:t>E. 3.1</w:t>
      </w:r>
    </w:p>
    <w:p>
      <w:r>
        <w:t>Gemäss Art. 4 Abs. 1 des Bundesgesetzes vom 3. Oktober 1951 über die Betäubungsmittel und die psychotropen Stoffe (BetmG, SR 812.121) bedürfen Firmen und Personen, die Betäubungsmittel anbauen, herstellen, verarbeiten oder damit Handel treiben, einer Bewilligung des Schweizerischen Heilmittelinstitutes; vorbehalten bleibt Art. 8. Die Voraussetzungen für die Erteilung, das Erlöschen oder den Entzug der Bewilligung, ebenso deren Form, Inhalt und Gültigkeitsdauer regelt der Bundesrat (Art. 4 Abs. 2 BetmG). Unter anderem gestützt auf diese Gesetzesbestimmung wurde vom Schweizerischen Bundesrat die Verordnung vom 17. Oktober 2001 über die Bewilligungen im Arzneimittelbereich (AMBV, SR 812.212.1) erlassen. Gemäss Art. 29 Abs. 3 AMBV kann für die Erneuerung der Bewilligung eine Inspektion durchgeführt werden.</w:t>
      </w:r>
    </w:p>
    <w:p>
      <w:r>
        <w:rPr>
          <w:b/>
        </w:rPr>
        <w:t>E. 3.2</w:t>
      </w:r>
    </w:p>
    <w:p>
      <w:r>
        <w:t>Gemäss Art 5 Abs. 1 BetmV in der ab 1. Januar 2002 bis Ende Juni 2011 gültig gewesenen Fassung (AS 2001 3133; Art. 89 Abs. 1 BetmKV, SR 812.121.1]) haben Firmen und Personen, die Pflanzen oder Pilze zur Gewinnung von Betäubungsmitteln anbauen, Betäubungsmittel herstellen, verarbeiten oder damit Handel treiben wollen, beim Institut um die in Art. 4 BetmG vorgeschriebene Bewilligung nachzusuchen und die in Bst. a bis i erwähnten Angaben und Ausweise beizubringen. Die Bewilligung zur Herstellung und zur Verarbeitung von Betäubungsmitteln wird Firmen und Personen erteilt, die im Hauptregister (Firmenbuch) des Handelsregisters eingetragen sind und vorwiegend Arzneimittel oder chemische Stoffe herstellen (Art. 6 Abs. 1 BetmV in der ab 1. Juli 1996 bis Ende Juni 2011 gültig gewesenen Fassung, AS 1996 1679). Die Bewilligung zur Herstellung und zur Verarbeitung von Betäubungsmitteln berechtigt auch zum Handel mit solchen, sofern die für den technischen Betrieb verantwortliche Person die Verantwortung auch für den Handel übernimmt. Ist dies nicht der Fall, so muss für den Handel zusätzlich eine verantwortliche Person nach Art. 7 Abs. 2 bestimmt werden (Art. 6 Abs. 5 BetmV in der ab 1. Juli 1996 bis Ende Juni 2011 gültig gewesenen Fassung, AS 1996 1679). Die Bewilligung zum Handel mit Betäubungsmitteln wird Firmen und Personen erteilt, die im Hauptregister (Firmenbuch) des Handelsregisters eingetragen sind und vorwiegend Handel mit Arzneimitteln oder chemischen Stoffen betreiben (Art. 7 Abs. 1 BetmV in der ab 1. Juli 1996 bis Ende Juni 2011 gültig gewesenen Fassung, AS 1996 1679). Gemäss Art 7 Abs. 2 BetmV in der ab 1. Januar 2002 bis Ende Juni 2011 gültig gewesenen Fassung (AS 2001 3133) muss die für den Handel verantwortliche Personen einen der in Art. 6 Abs. 3 erwähnten Ausweis besitzen. Laut Art. 8 BetmV in der ab 1. Januar 2002 bis Ende Juni 2011 gültig gewesenen Fassung sind die Bestimmungen von Art. 7 auch anwendbar auf Vermittler (Makler, Broker, Agenten), welche die in Art. 1 Abs. 2 und 3 BetmG genannten Stoffe vermitteln.</w:t>
      </w:r>
    </w:p>
    <w:p>
      <w:r>
        <w:rPr>
          <w:b/>
        </w:rPr>
        <w:t>E. 3.3</w:t>
      </w:r>
    </w:p>
    <w:p>
      <w:r>
        <w:t>Gemäss Art. 18 BetmV in der ab 1. Juli 1996 bis Ende Juni 2011 gültig gewesenen Fassung (AS 1996 1679) ist eine Bewilligung höchstens fünf Jahre gültig (Abs. 1); diese kann für fünf Jahre erneuert werden, wenn die Voraussetzungen erfüllt sind (Abs. 2). Nichts Wesentliches daran geändert hat die neue, am 1. Juli 2011 in Kraft getretene BetmKV (vgl. Art. 89 BetmKV), denn gemäss Art. 18 Abs. 1 BetmKV gilt eine Bewilligung für höchstens fünf Jahre, und diese kann gemäss Abs. 2 Satz 1 auf Antrag für jeweils weitere fünf Jahre erneuert werden.</w:t>
      </w:r>
    </w:p>
    <w:p>
      <w:r>
        <w:rPr>
          <w:b/>
        </w:rPr>
        <w:t>E. 3.4.1</w:t>
      </w:r>
    </w:p>
    <w:p>
      <w:r>
        <w:t>Die Vorinstanz vertrat in ihrer Vernehmlassung vom 16. August 2010 die Auffassung, dass ihre praxisgemässe, eine Gleichbehandlung gewährleistende Vorgehensweise in keiner Art und Weise Art. 18 BetmV widerspreche. Sie geht mit Blick auf ihre Ausführungen ohne Weiteres davon aus, dass ihr Art. 18 BetmV Ermessen - das heisst eine Entscheidungsbefugnis, die ihr der Gesetzgeber durch die offene Normierung überträgt (vgl. Häfelin/Müller/Uhlmann, a.a.O., S. 99 Rz. 429) - einräumt. Ob eine bestimmte Norm den Verwaltungsbehörden Ermessen einräumt, ist auf dem Weg der Auslegung zu ermitteln. Sie ist immer Rechtsfrage. Ihre Beantwortung liegt nicht im Ermessen der Verwaltungsbehörden und kann von den Verwaltungsgerichten voll überprüft werden. Das Ermessen wird - nebst weiteren Formen - durch eine sogenannte "Kann-Vorschrift" eingeräumt (Häfelin/Müller/Uhlmann, a.a.O., S. 101 Rz. 439 f. mit Hinweis auf BGE 133 II 35 und 125 II 29/38).</w:t>
      </w:r>
    </w:p>
    <w:p>
      <w:r>
        <w:rPr>
          <w:b/>
        </w:rPr>
        <w:t>E. 3.4.2</w:t>
      </w:r>
    </w:p>
    <w:p>
      <w:r>
        <w:t>Bei der gesetzlichen Regelung des Art. 18 Abs. 2 BetmV handelt es sich zweifelsfrei um eine sogenannte "Kann-Vorschrift". Eine solche stellt nach der Rechtsprechung die Entscheidung ins pflichtgemässe Ermessen der zuständigen Instanz (BGE 123 II 106 E. 2b, 115 Ib 517 E. 7h). Das Vorgehen der Vorinstanz, die Dauer der provisorischen bzw. befristeten Bewilligungsverlängerungen, für welche keine Gebühren erhoben wurden, in die Berechnung der Gültigkeitsdauer der nächsten ordentlichen Bewilligung mit einzubeziehen, ist unter diesen Aspekten keinesfalls zu beanstanden. Es trifft - wie von der Vorinstanz in korrekter Weise dargelegt - zu, dass die Beschwerdeführerin ansonsten gegenüber anderen Bewilligungsinhaberinnen und -inhabern in den Genuss einer insgesamt längeren Gesamtdauer der Bewilligung käme, was weder mit Art. 18 Abs. 2 BetmV noch mit dem Gleichbehandlungsgrundsatz vereinbar wäre. Es liegen keine Anhaltspunkte dafür vor, dass die Vorinstanz das ihr zustehende Ermessen überschritten hätte. Vielmehr ist in diesem Zusammenhang zu erwähnen, dass die Vorinstanz, indem sie die Bewilligung zweimal provisorisch und anschliessend ordentlich für eine Dauer von insgesamt fünf Jahren verlängert hatte, das ihr von Art. 18 BetmV eingeräumte Ermessen zu Gunsten der Beschwerdeführerin voll ausgeschöpft hatte. Unter diesen Aspekten ist nicht von Relevanz, wer die Gründe für die verzögerte Bewilligungserneuerung zu verantworten hat. Für das Bundesverwaltungsgericht besteht somit keine Veranlassung, die entsprechende Vorgehensweise der Vorinstanz in Zweifel zu ziehen.</w:t>
      </w:r>
    </w:p>
    <w:p>
      <w:r>
        <w:rPr>
          <w:b/>
        </w:rPr>
        <w:t>E. 3.4.3</w:t>
      </w:r>
    </w:p>
    <w:p>
      <w:r>
        <w:t>Betreffend die im Zusammenhang mit dem im Jahre 2009 erstellten Merkblatt von den Parteien gemachten Ausführungen ist vorab festzuhalten, dass ein solches in der Regel keine vom materiellen Recht abweichende Behandlung zu begründen vermag, weil es sich an einen unbestimmten Adressatenkreis richtet und eine Vielzahl von Sachverhalten betrifft (BGE 109 V 52 E. 1b; ARV 1988 S. 83 E. 3c; ZAK 1989 S. 162 E. 5d). Entgegen der Auffassung der Beschwerdeführerin erweist sich das Merkblatt, in welchem unbestrittenermassen die langjährige Praxis der Abteilungen Zertifikate und Bewilligungen/Betäubungsmittel wiedergegeben wird, ohne Weiteres mit der BetmV in Übereinstimmung resp. wird diese dadurch nicht ausgehebelt. Dass dieses Merkblatt erst im Jahr 2009 erstellt worden war, spielt vorliegend und insbesondere mit Blick auf die Verordnungskonformität und langjährige Praxis der Vorinstanz keine Rolle. Mit diesem Merkblatt resp. der darin verfassten langjährigen Verwaltungspraxis wird von der Vorinstanz zweifelsfrei vermieden, dass (rechtliche) Unterscheidungen getroffen werden, für die ein vernünftiger Grund in den zu regelnden Verhältnissen nicht ersichtlich ist, oder dass Unterscheidungen unterlassen werden, welche sich auf Grund der Verhältnisse aufdrängen. Mit anderen Worten wird dadurch der Grundsatz der rechtsgleichen Behandlung (Art. 8 Abs. 1 der Bundesverfassung der Schweizerischen Eidgenossenschaft vom 18. April 1999 [BV, SR 101]) auch in gleichen oder ähnlich gelagerten Fällen beachtet (vgl. zum Ganzen BGE 134 I 23 E. 9.1 mit Hinweisen, 131 V 107 E. 3.4.2 mit Hinweisen).</w:t>
      </w:r>
    </w:p>
    <w:p>
      <w:r>
        <w:rPr>
          <w:b/>
        </w:rPr>
        <w:t>E. 3.5</w:t>
      </w:r>
    </w:p>
    <w:p>
      <w:r>
        <w:t>Aufgrund der vorstehenden Erwägungen ist zusammenfassend festzustellen, dass sich die angefochtene Verfügung vom 18. Mai 2010 resp. die darin in Ziff. 5 des Dispositivs bis 31. Dezember 2013 ordentlich erteilte Bewilligung als rechtens erweist.</w:t>
      </w:r>
    </w:p>
    <w:p>
      <w:r>
        <w:rPr>
          <w:b/>
        </w:rPr>
        <w:t>E. 4.1</w:t>
      </w:r>
    </w:p>
    <w:p>
      <w:r>
        <w:t>Die mit Verfügung vom 14. Januar 2004 erteilte, letzte ordentliche Bewilligung zur Herstellung und zum Grosshandel von/mit Betäubungsmittel gemäss Anhang a/c der BetmV-Swissmedic vom 12. Dezember 1996 lief am 31. Dezember 2008 ab (act. 19 und 21). Diese Bewilligung wurde mit Zwischenverfügungen vom 27. April 2009 - welche ersetzt wurde durch diejenige vom 7. September 2009 (act. 213 bis 219) - und 4. Januar 2010 bis 31. Dezember 2009 resp. bis 18. Mai 2010 verlängert (act. 165 bis 171 und 233 bis 239). In Ziff. 5 der Dispositive wurde darauf hingewiesen, dass für diese Zwischenverfügungen keine Gebühren erhoben würden, und in Ziff. 7 des Dispositivs der Zwischenverfügung vom 4. Januar 2010 wurde erwähnt, dass der Entscheid über die definitive Verlängerung der Betriebsbewilligung zum Verkehr mit Betäubungsmitteln nach Vorliegen der Entscheidgrundlagen im Hauptentscheid erfolge. Dasselbe wurde im Übrigen auch im Begleitbrief zur Verfügung vom 27. April 2009 erwähnt (act. 171).</w:t>
      </w:r>
    </w:p>
    <w:p>
      <w:r>
        <w:rPr>
          <w:b/>
        </w:rPr>
        <w:t>E. 4.2</w:t>
      </w:r>
    </w:p>
    <w:p>
      <w:r>
        <w:t>Die vorstehend erwähnten Bewilligungen wurden zweifelsfrei im Sinne eines Provisoriums befristet erteilt resp. verlängert. Der Vorinstanz ist darin beizupflichten, dass es sich bei der provisorischen Verlängerung um eine verfahrensleitende Anordnung handelte, die dazu diente, dass die von der Beschwerdeführerin beantragte Bewilligungserneuerung nicht während der Dauer des Verlängerungsverfahrens - zufolge Ablaufs der Bewilligungsdauer - ersatzlos zum Erlöschen kam.</w:t>
      </w:r>
    </w:p>
    <w:p>
      <w:r>
        <w:rPr>
          <w:b/>
        </w:rPr>
        <w:t>E. 4.3</w:t>
      </w:r>
    </w:p>
    <w:p>
      <w:r>
        <w:t>Gemäss Art. 69 BetmV in der ab 1. Januar 2002 bis Ende Juni 2011 gültig gewesenen Fassung (AS 2001 3133) legt das Institut die Gebühren für die Erteilung von Bewilligungen nach dieser Verordnung fest. Gestützt auf diese Verordnungsbestimmung wurde die am 1. Oktober 2006 in Kraft getretene Heilmittel-Gebührenverordnung vom 22. Juni 2006 (HGebV, SR 812.214.5) erlassen resp. richten sich die Gebühren der Vorinstanz nach dieser Verordnung. Daran hat im Übrigen auch die - unter Vorbehalt von Art. 89 Abs. 2 - am 1. Juli 2011 in Kraft getretene BetmKV nichts geändert, denn gemäss Art. 80 BetmKV richten sich die Gebühren der Vorinstanz nach der HGebV. Mit Blick auf Art. 1 Bst. a HGebV in Verbindung mit Ziff. IV Abs. 1 Bst. g des Anhangs der HGebV (Gebühren für Betriebsbewilligungen und Inspektionen) lässt sich nicht beanstanden, dass die Vorinstanz der Beschwerdeführerin in der angefochtenen Verfügung vom 18. Mai 2010 eine Gebühr in der Höhe von Fr. 500.- auferlegt hat. Dass in den Zwischenverfügungen vom 27. April 2009 und 4. Januar 2010 nicht erwähnt worden war, dass die Gebühren im Rahmen des Erlasses der ordentlichen Bewilligung erhoben würden, vermag daran nichts zu ändern, zumal sich die Beschwerdeführerin aufgrund ihrer Geschäftstätigkeit ohne Weiteres über eine Gebührenerhebung im Klaren sein musste. Von einer Verletzung des Grundsatzes von Treu und Glauben kann unter diesen Umständen nicht die Rede sein.</w:t>
      </w:r>
    </w:p>
    <w:p>
      <w:r>
        <w:rPr>
          <w:b/>
        </w:rPr>
        <w:t>E. 5</w:t>
      </w:r>
    </w:p>
    <w:p>
      <w:r>
        <w:t>Aufgrund der vorstehenden Erwägungen ist zusammenfassend festzuhalten, dass die Beschwerde vom 11. Juni 2010 gegen die angefochtene Verfügung vom 18. Mai 2010 als unbegründet abzuweisen ist.</w:t>
      </w:r>
    </w:p>
    <w:p>
      <w:r>
        <w:rPr>
          <w:b/>
        </w:rPr>
        <w:t>E. 6.1</w:t>
      </w:r>
    </w:p>
    <w:p>
      <w:r>
        <w:t>Bei diesem Ausgang des Verfahrens sind der unterliegenden Beschwerdeführerin die Verfahrenskosten aufzuerlegen (Art. 63 Abs. 1 VwVG). Die Spruchgebühr richtet sich nach Umfang und Schwierigkeit der Streitsache, Art der Prozessführung und finanzieller Lage der Parteien (Art. 63 Abs. 4bis VwVG). Da es sich um eine Streitigkeit ohne direkte Vermögensinteressen im Sinn von Art. 63 Abs. 4bis Bst. b VwVG in Verbindung mit Art. 4 des Reglements vom 21. Februar 2008 über die Kosten und Entschädigungen vor dem Bundesverwaltungsgericht (VGKE, SR 173.320.2) handelt, ist die Spruchgebühr nach Art. 3 VGKE festzusetzen. Sie wird auf Fr. 3'000.- bestimmt und ist mit dem einbezahlten Kostenvorschuss von Fr. 3'000.- zu verrechnen.</w:t>
      </w:r>
    </w:p>
    <w:p>
      <w:r>
        <w:rPr>
          <w:b/>
        </w:rPr>
        <w:t>E. 6.2</w:t>
      </w:r>
    </w:p>
    <w:p>
      <w:r>
        <w:t>Die unterliegende Beschwerdeführerin hat keinen Anspruch auf eine Parteientschädigung (Art. 7 Abs. 1 des Reglements vom 21. Februar 2008 über die Kosten und Entschädigungen vor dem Bundesverwaltungsgericht [VGKE, SR 173.320.2]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