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C-4282/2008 vom 17. Juni 2010</w:t>
      </w:r>
    </w:p>
    <w:p>
      <w:r>
        <w:t>Bundesverwaltungsgericht, 2010-06-17, IT</w:t>
      </w:r>
    </w:p>
    <w:p>
      <w:r>
        <w:rPr>
          <w:b/>
        </w:rPr>
        <w:t xml:space="preserve">Quelle: </w:t>
      </w:r>
      <w:r>
        <w:t>https://mcp.opencaselaw.ch/entscheid/bvger_C-4282_2008</w:t>
      </w:r>
    </w:p>
    <w:p>
      <w:r>
        <w:t>FR: TAF C-4282/2008 du 17 juin 2010</w:t>
      </w:r>
    </w:p>
    <w:p>
      <w:r>
        <w:t>IT: TAF C-4282/2008 del 17 giugno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 maggio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30 novembre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30 novembre 2005 (ossia 12 mesi precedenti la presentazione della domanda), oppure se un diritto alla rendita sia sorto tra tale data e il 2 maggio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Nel gravame il ricorrente rimprovera all'autorità inferiore di non avere sufficientemente motivato la decisione impugnata. La censura non appare del tutto priva di fondamento ove solo si rilevi che né nel progetto di decisione dell'11 febbraio 2008 né nella decisione impugnata del 2 maggio 2008 l'UAIE ha spiegato perché, malgrado il danno alla salute, l'esercizio di un'attività lavorativa è sempre esigibile in maniera sufficiente per escludere il diritto ad una rendita. Sennonché giova osservare, da un lato, che nella risposta al ricorso del 22 agosto 2008 - trasmessa all'insorgente mediante decisione incidentale di questo Tribunale del 16 settembre 2008 (cfr. doc. TAF 4) - l'autorità inferiore ha comunque provveduto a pronunciarsi esplicitamente sulla questione dell'esigibilità della precedente attività di bracciante agricolo esercitata dal ricorrente ed ha pure indicato i mezzi di prova (doc. 52 e 59) su cui ha fondato la propria valutazione. Dall'altro lato, al ricorrente è stata data facoltà in sede di ricorso - dinanzi ad un'autorità, il Tribunale amministrativo federale, che gode di piena cognizione - di pronunciarsi in merito alle ragioni presentate dall'autorità inferiore nella risposta al ricorso. Nella replica del 9 ottobre 2008, l'insorgente non ha più invocato il permanere del vizio di carente motivazione ed ha discusso le ragioni addotte dall'autorità inferiore nella risposta al ricorso, senza peraltro chiedere, benché rappresentato da mandatario professionale, l'edizione degli atti di causa, ciò che avrebbe dovuto e potuto fare usando della necessaria diligenza qualora lo avesse ancora ritenuto necessario per una corretta difesa dei propri interessi. Per conseguenza, e benché nel caso di specie l'autorità inferiore abbia violato l'obbligo di motivare sufficientemente la decisione impugnata, il vizio deve considerarsi siccome sanato in sede di ricorso. In siffatte circostanze, un annullamento della decisione impugnata e un rinvio degli atti di causa all'amministrazione per carente motivazione della decisione litigiosa costituirebbe in ogni caso una vana formalità.</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Nel caso di specie, occorre rilevare che dalla documentazione medica agli atti (cfr. in particolare perizia medica particolareggiata E 213 del 15 gennaio 2007; doc. 50) emerge che il ricorrente soffre segnatamente di spondilodisco-artrosi lombare con listesi L4-L5 a discreto impegno funzionale, lieve ipertensione arteriosa, lievi varici arti inferiori, ipertrofia prostatica già sottoposta a resezione trans-uretrale (TURP). 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11.1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11.2</w:t>
      </w:r>
    </w:p>
    <w:p>
      <w:r>
        <w:t>Dalle carte processuali emerge che, dopo il rimpatrio, il ricorrente ha ancora esercitato un'attività lucrativa (dal 1988). In particolare, è stato alle dipendenze di diversi datori di lavoro, come bracciante agricolo con mansioni di potatore/rimondatore, in ragione di 24/36 ore alla settimana, durante 102 giornate all'anno. Dal 1997, ha svolto un'attività più leggera, segnatamente di coordinatore di altri braccianti agricoli. Ha interrotto il lavoro il 31 dicembre 2006 per motivi di salute (doc. 13 e 18).</w:t>
      </w:r>
    </w:p>
    <w:p>
      <w:r>
        <w:rPr>
          <w:b/>
        </w:rPr>
        <w:t>E. 11.3.1</w:t>
      </w:r>
    </w:p>
    <w:p>
      <w:r>
        <w:t>Nei suoi rapporti del 5 febbraio e 20 aprile 2008, il dott. B._______, medico dell'UAIE, ha esposto le diagnosi che a suo giudizio, conto tenuto della documentazione medica agli atti (in particolare della perizia particolareggiata E 213 del 15 gennaio 2007), hanno una ripercussione sulla capacità lavorativa del ricorrente, ossia la lombalgia recidivante e la spondiloartrosi, rispettivamente non hanno una ripercussione sulla capacità al lavoro (iperplasia prostatica benigna, insufficienza venosa cronica, epatopatia e gastroduodenite). Ha in particolare ritenuto che l'affezione ortopedico-reumatologica di cui soffre l'insorgente - disturbi alla colonna vertebrale con alterazioni degenerative e lieve limitazione della mobilità, senza disturbi neurologici - impedisce l'esercizio d'attività pesanti, ma non di quelle leggere adeguate, fra cui quella precedente di bracciante agricolo con mansioni di coordinatore/organizzatore dell'attività d'altri braccianti agricoli. Il dott. B._______ ha quindi concluso che, date le premesse, il ricorrente presenta un'incapacità al lavoro del 20% a decorrere dal 1997 nella sua precedente attività (doc. 52 e 59).</w:t>
      </w:r>
    </w:p>
    <w:p>
      <w:r>
        <w:rPr>
          <w:b/>
        </w:rPr>
        <w:t>E. 11.3.2</w:t>
      </w:r>
    </w:p>
    <w:p>
      <w:r>
        <w:t>Certo, nella perizia medica particolareggiata E 213 del 15 gennaio 2007 (doc. 50), l'insorgente è stato ritenuto capace di svolgere il suo precedente lavoro nella misura di sole 3 ore al giorno. Sennonché, detta valutazione medica non è condivisibile risultando difficilmente compatibile con la diagnosi e le limitazioni funzionali accertate (spondilodiscoartrosi lombare a discreto impegno funzionale, lieve ipertensione arteriosa [circolo venoso superficiale con incontinenza valvolare lieve della grande safena sinistra a livello di gamba, doc. 45], lievi varici arti inferiori, iperplasia prostatica benigna già sottoposta ad intervento e lieve ansia reattiva) e le buone/discrete condizioni generali del ricorrente (doc. 50 pag. 3 e seg. n. 4, 5 e 6). Un'incapacità lavorativa del 55% nella precedente attività di bracciante agricolo con mansioni di coordinatore degli altri operai non è altresì corroborata da riscontri seri ed affidabili neppure in altri documenti medici agli atti di causa, facendo difetto indicazioni precise, affidabili e oggettivabili sull'esistenza di problemi di salute maggiori di quelli ritenuti dal medico dell'UAIE e suscettibili d'incidere significativamente sulla capacità lavorativa del ricorrente. Basti ancora rilevare, da un lato, che di principio una semplice enumerazione delle affezioni di cui soffre una persona ancora non implica un'incapacità lavorativa specifica e, dall'altro lato, che al di là della citata perizia E 213 in alcun documento medico agli atti di causa è fatto riferimento ad uno specifico grado d'incapacità lavorativa (nozione da non confondere con il grado d'invalidità) del ricorrente nel suo precedente lavoro, tanto meno se riferita all'attività di coordinatore degli altri braccianti agricoli.</w:t>
      </w:r>
    </w:p>
    <w:p>
      <w:r>
        <w:rPr>
          <w:b/>
        </w:rPr>
        <w:t>E. 11.3.3</w:t>
      </w:r>
    </w:p>
    <w:p>
      <w:r>
        <w:t>L'insorgente ha certo affermato, in sede di ricorso e di replica, che le affezioni di cui soffre non gli consentono di esercitare una qualsiasi attività lucrativa e giustificano un'invalidità del 100%. Tuttavia, non ha prodotto nuova documentazione medica suscettibile di dimostrare un'incapacità lavorativa nella sua precedente attività - di bracciante con mansioni di coordinatore degli altri braccianti - superiore a quella, del 20%, ritenuta dall'UAIE sulla base dell'apprezzamento del proprio servizio medico. I documenti medici del gennaio 1997 e del gennaio e dicembre 2005 (già agli atti) sono altresì già stati sottoposti al medico dell'UAIE ed il referto di esame radiografico del novembre 1996 è anteriore di oltre 11 anni alla data della decisione impugnata e la diagnosi ivi riportata non ha comunque impedito al ricorrente di esercitare ulteriormente la precedente attività, seppure in forma diversa.</w:t>
      </w:r>
    </w:p>
    <w:p>
      <w:r>
        <w:rPr>
          <w:b/>
        </w:rPr>
        <w:t>E. 11.3.4</w:t>
      </w:r>
    </w:p>
    <w:p>
      <w:r>
        <w:t>In siffatte circostanze, ben poteva l'autorità inferiore decidere il caso sulla base degli atti di causa senza dovere procedere d'ufficio ad ulteriori accertamenti, non risultando dalla documentazione sufficienti indizi che potessero giustificare dubbi od incertezze riguardo all'esito della causa per quanto attiene alla valutazione medica sulla residua capacità lavorativa dell'insorgente. In virtù delle risultanze processuali e delle considerazioni che precedono, questo Tribunale ritiene che non vi è alcun serio motivo di scostarsi dall'apprezzamento dell'autorità inferiore secondo cui il ricorrente presenta una residua capacità lavorativa dell'80%, a decorrere dal 1997, nella sua precedente attività di bracciante agricolo con mansioni di coordinatore degli altri braccianti. Peraltro, né nell'ambito della procedura di prima istanza né in sede di ricorso l'insorgente ha mai indicato con la necessaria precisione - ciò che avrebbe potuto e dovuto fare di moto proprio usando della dovuta diligenza - quali specifiche attività della sua precedente professione, naturalmente quella di bracciante agricolo con mansioni di coordinatore di altri operai, sarebbero comunque rimaste medio-pesanti o pesanti. Non v'è altresì alcuna ragione di presumere che superassero il 20% del tempo di lavoro effettivo ed abituale, tanto meno che fossero addirittura pari o superiori al 40%. Va inoltre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11.3.5</w:t>
      </w:r>
    </w:p>
    <w:p>
      <w:r>
        <w:t>Giova infine rilevare che allorquando, come nel caso di specie, il ricorrente presenta ancora una residua capacità lavorativa dell'80% nella sua precedente attività di bracciante agricolo con mansioni di coordinatore degli altri braccianti agricoli, il grado d'invalidità corrisponde all'incapacità lavorativa ("Prozent-Vergleich"). In tale caso, la determinazione del grado d'invalidità non presuppone né la presa in considerazione dell'età del ricorrente né del mercato equilibrato del lavoro né un raffronto dei redditi ipotetici (cfr. sentenza del Tribunale federale 9C_947/2008 del 29 maggio 2009).</w:t>
      </w:r>
    </w:p>
    <w:p>
      <w:r>
        <w:rPr>
          <w:b/>
        </w:rPr>
        <w:t>E. 11.4</w:t>
      </w:r>
    </w:p>
    <w:p>
      <w:r>
        <w:t>Per conseguenza, il ricorso, destituito di fondamento, non merita tutela e la decisione impugnata va confermata.</w:t>
      </w:r>
    </w:p>
    <w:p>
      <w:r>
        <w:rPr>
          <w:b/>
        </w:rPr>
        <w:t>E. 12.1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l'8 ottobre 2008.</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