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C-4275/2015 vom 21. November 2017</w:t>
      </w:r>
    </w:p>
    <w:p>
      <w:r>
        <w:t>Bundesverwaltungsgericht, 2017-11-21, FR</w:t>
      </w:r>
    </w:p>
    <w:p>
      <w:r>
        <w:rPr>
          <w:b/>
        </w:rPr>
        <w:t xml:space="preserve">Quelle: </w:t>
      </w:r>
      <w:r>
        <w:t>https://mcp.opencaselaw.ch/entscheid/bvger_C-4275_2015</w:t>
      </w:r>
    </w:p>
    <w:p>
      <w:r>
        <w:t>FR: TAF C-4275/2015 du 21 novembre 2017</w:t>
      </w:r>
    </w:p>
    <w:p>
      <w:r>
        <w:t>IT: TAF C-4275/2015 del 21 novembre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w:t>
      </w:r>
    </w:p>
    <w:p>
      <w:r>
        <w:rPr>
          <w:b/>
        </w:rPr>
        <w:t>E. 2.2</w:t>
      </w:r>
    </w:p>
    <w:p>
      <w:r>
        <w:t>La procédure dans le domaine des assurances sociales fait prévaloir la maxime inquisitoire (ATF 138 V 218 consid. 6). Le TAF définit les faits et apprécie les preuves d'office et librement (cf. art. 12 PA). Il applique le droit d'office, sans être lié par les motifs invoqués par les parties (art. 62 al. 4 PA ; Fritz. Gygi, Bundesverwaltungsrechtspflege, 1983, p. 212 ; Thomas Häberli, in : B. Waldmann / Ph. Weissenberger, Praxiskommentar Verwal-tungsverfahrengesetz,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3.1</w:t>
      </w:r>
    </w:p>
    <w:p>
      <w:r>
        <w:t>L'affaire présente un aspect transfrontalier dans la mesure où le recourant est ressortissant espagnol domicilié en Espagne.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 Etat membre »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 Certaines dispositions de conventions de sécurité sociale que les Etats membres ont conclues avant la date d'application du présent règlement restent applicables, pour autant notamment qu'elles soient plus favorables pour les bénéficiaires (art. 8 du règlement n° 883/2004) et que ceux-ci aient exercé leur droit à la libre circulation avant l'entrée en vigueur de l'ALCP (ATF 133 V 329 consid. 8.6).</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Même après l'entrée en vigueur de l'ALCP, le degré d'invalidité d'un assuré qui prétend à une rente de l'assurance-invalidité suisse est déterminé exclusivement d'après le droit suisse (ATF 130 V 253 consid. 2.4 ; arrêt du TF 9C_573/2012 du 16 janvier 2013 consid. 4).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 Cela étant, la documentation médicale et administrative fournie par les institutions de sécurité sociale d'un autre Etat membre doit être prise en considération (art. 49 al. 2 du règlement 987/2009).</w:t>
      </w:r>
    </w:p>
    <w:p>
      <w:r>
        <w:rPr>
          <w:b/>
        </w:rPr>
        <w:t>E. 4</w:t>
      </w:r>
    </w:p>
    <w:p>
      <w:r>
        <w:t>L'objet du présent litige est le bien-fondé de la suppression de la demi-rente d'invalidité au 1er août 2015 dont bénéficiait l'intéressé au motif d'une amélioration de son état de santé psychiatrique du fait que l'intéressé ne souffrirait plus d'un trouble de conversion en relation avec ses atteintes au poignet gauche et à la main gauche, le rapport psychiatrique établi en date du 21 octobre 2014 n'ayant plus retenu de trouble de conversion et l'incapacité de travail dans une activité adaptée étant de 0% dès cette date fondant une perte de gain de 27% par rapport à son activité antérieure ayant précédé son cas d'invalidité.</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En principe, les rentes correspondant à un degré d'invalidité inférieur à 50% ne sont versées qu'aux assurés qui ont leur domicile et leur résidence habituelle en Suisse (art. 29 al. 4 LAI).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n° 883/04).</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Michel Valterio, Droit de l'assurance-vieillesse et survivants [AVS] et de l'assurance-invalidité [AI], 2011, n° 2060 ss).</w:t>
      </w:r>
    </w:p>
    <w:p>
      <w:r>
        <w:rPr>
          <w:b/>
        </w:rPr>
        <w:t>E. 6.2</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7.1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S'agissant des données médicales propres à l'évaluation de l'invalidité (art. 16 LPGA et art. 28 ss LAI), l'office AI peut s'appuyer - à côté du Service médical régional (SMR ; art. 59 al. 2 et 2bis LAI), des rapports des médecins traitants (art. 28 al. 3 LPGA), des rapports d'experts externes (art. 59 al. 3 LAI) - sur les centres d'observation médicale et professionnelle (COMAI, COPAI ; art. 59 al. 3 LAI ; ATF 136 V 376 consid. 4.1.1 ; voir ég. Valterio, op. cit., n° 2595 ss).</w:t>
      </w:r>
    </w:p>
    <w:p>
      <w:r>
        <w:rPr>
          <w:b/>
        </w:rPr>
        <w:t>E. 7.1.1</w:t>
      </w:r>
    </w:p>
    <w:p>
      <w:r>
        <w:t>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7.1.2</w:t>
      </w:r>
    </w:p>
    <w:p>
      <w:r>
        <w:t>La tâche d'un centre d'observation médicale (COMAI) auquel l'Office AI peut recourir en vertu de l'art. 59 al. 3 LAI est d'apprécier, sur mandat de l'office AI, l'état de santé de l'assuré dans son ensemble lorsqu'un tel examen s'avère particulièrement difficile et ne peut être effectué d'une autre manière (Valterio, op. cit., n° 2607). Le but de l'expertise pluridisciplinaire est d'obtenir une collaboration entre différents praticiens (médecins spécialisés) et d'éviter les contradictions que pourraient entraîner des examens trop spécialisés, menés indépendamment les uns des autres. Il convient de s'attacher à la discussion globale menée par les experts du COMAI plutôt qu'aux rapports forcément sectoriels et limités des différents spécialistes consultés en cours d'expertise (cf. arrêt du TF I 513/05 du 5 septembre 2006 consid. 5.4 et les références; Valterio, loc. cit.).</w:t>
      </w:r>
    </w:p>
    <w:p>
      <w:r>
        <w:rPr>
          <w:b/>
        </w:rPr>
        <w:t>E. 7.2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Tribunal fédéral 9C_748/2013 du 10 février 2014 consid. 4.1.1 et 4.1.2, I 131/03 du 22 mars 2004 consid. 2.2).</w:t>
      </w:r>
    </w:p>
    <w:p>
      <w:r>
        <w:rPr>
          <w:b/>
        </w:rPr>
        <w:t>E. 7.4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 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7.5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TF I 8/04 du 12 octobre 2005 consid. 2.1; Valterio, op. cit., n° 3054 ss, 3065).</w:t>
      </w:r>
    </w:p>
    <w:p>
      <w:r>
        <w:rPr>
          <w:b/>
        </w:rPr>
        <w:t>E. 8.2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8.3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(arrêts du TF I 532/05 du 13 juillet 2006 consid. 3; I 561/05 du 31 mars 2006 consid. 3.3; ATF 112 V 371 consid. 2b).</w:t>
      </w:r>
    </w:p>
    <w:p>
      <w:r>
        <w:rPr>
          <w:b/>
        </w:rPr>
        <w:t>E. 8.4</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w:t>
      </w:r>
    </w:p>
    <w:p>
      <w:r>
        <w:rPr>
          <w:b/>
        </w:rPr>
        <w:t>E. 8.5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TF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9</w:t>
      </w:r>
    </w:p>
    <w:p>
      <w:r>
        <w:t>Dans son recours l'intéressé fait valoir un état de santé inchangé, voire aggravé. Il invoque ses atteintes connues au niveau du membre supérieur gauche, souffrir également d'atteintes à la colonne vertébrale et aux genoux, lesquelles se sont considérablement aggravées, note que son activité de 2009 à 2012 avait été exercée dans des conditions privilégiées. Il indique que ce n'était pas parce que le Dr N._______ n'avait pas évoqué le trouble de conversion en relation avec sa main gauche inutilisable que celui-ci n'existait plus, le Dr N._______ ayant expressément précisé que son examen avait été établi que sur le plan psychopathologique et non physique et le Dr K._______ ayant expressément indiqué cette atteinte sous la désignation « distrofia simpatico refleja mano izquerda ». Il souligna que la décision avait été rendue sans examen de son trouble de conversion ni de ses autres atteintes somatiques établies par des certificats médicaux, que dès lors le dossier n'avait pas été instruit correctement. Il conclut pour le cas où le tribunal ne pourrait pas trancher au fond à la mise en oeuvre d'une expertise psychiatrique, cas échéant rhumatologique et orthopédique. L'OAIE pour sa part invoque une amélioration de l'état de santé de l'intéressé à compter du rapport psychiatrique du 21 octobre 2014 du Dr N._______ qui ne mentionne plus le trouble de conversion mais retient un trouble d'adaptation ainsi qu'une réaction dépressive de longue durée, qu'en l'occurrence du point de vue psychiatrique il n'y avait plus d'incapacité de travail à retenir pour des activités de substitution. L'OAIE précise retenir comme seule atteinte incapacitante l'atteinte somatique ostéoarticulaire (pseudarthrose du scaphoïde carpien décompensée, ankylose des doigts, arthrose radio-carpienne évolutive) avec une diminution de la capacité de gain de 100% dans la dernière activité exercée en tant qu'ouvrier spécialisé en électricité et 0% dans l'exercice d'une activité de substitution avec une diminution de la capacité de gain de 27% dès le 21 octobre 2014.</w:t>
      </w:r>
    </w:p>
    <w:p>
      <w:r>
        <w:rPr>
          <w:b/>
        </w:rPr>
        <w:t>E. 10.1</w:t>
      </w:r>
    </w:p>
    <w:p>
      <w:r>
        <w:t>Il appert de l'art. 43 al. 1, 1ère phrase, LPGA qu'il appartient à l'assureur de prendre d'office les mesures d'instruction nécessaires et de recueillir les renseignements dont il a besoin. Il sied de souligner que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Il appartient aux services médicaux régionaux (SMR) interdisciplinaires d'évaluer les conditions médicales du droit aux prestations (art. 59 al. 2 et 2bis LAI), ce qui suppose d'apprécier les capacités fonctionnelles de l'assuré de pouvoir exercer une activité lucrative ou d'accomplir ses travaux habituels dans une mesure qui peut être raisonnablement exigée de lui. Les médecins d'un service médical régional doivent, comme tout expert, disposer des compétences professionnelles nécessaires (Valterio, op. cit., n° 2596) et recourir à la documentation médicale nécessaire à leurs tâches.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10.2</w:t>
      </w:r>
    </w:p>
    <w:p>
      <w:r>
        <w:t>En l'espèce, à la suite des premières données médicales reçues suite à la révision du droit à la rente initiée le 5 août 2014 le Dr M._______ sur la base de sa connaissance du dossier indiqua à juste titre nécessiter une documentation médicale supplémentaire en la forme d'un rapport E 213 et d'un rapport psychiatrique. L'OAIE ne requit de l'INSS cependant qu'un rapport psychiatrique détaillé et reçut le rapport du Dr N._______ du 21 octobre 2014 relativement succinct (rapport rappelant l'accident de 2004 ayant lésé le poignet de la main droite [recte : gauche], la reconnaissance d'une invalidité de 60% [recte : 50%] et une activité professionnelle erronée de responsable des achats internationaux dans sa propre entreprise, exposé suivi de 8 lignes sur le status actualisé). Ce rapport a complété celui du Dr K._______ du 22 août 2014 ayant simplement listé des atteintes à la santé connues et nouvelles et le rapport radiologique du Dr L._______ du 10 juin 2014. Au nombre des atteintes listées figure une dystrophie sympathique réflexe (aussi appelée « algodystrophie (de type I) » ou « syndrome régional douloureux complexe (SRDC) ») de la main gauche dont le diagnostic peut être rapproché s'agissant de l'intéressé de celui de trouble dissociatif ou trouble de conversion en relation avec le poignet et la main gauches (voir le rapport SMR du 26 juillet 2007 et le rapport du 9 août 2007 du Dr B._______, supra A.d et A.e). Les troubles de conversion sont « des symptômes neurologiques tels que la paralysie, les troubles sensoriels, la cécité, ou le tremblement, qui peuvent ressembler à une maladie organique connue comme un accident vasculaire, l'épilepsie, ou des symptômes extrapyramidaux mais qui ne peuvent être attribués à une maladie organique neurologique. Leur diagnostic fait partie des diagnostics neurologiques inexpliqués qu'un neurologue sait repérer par ses atypies, incohérences et fluctuations. Son intrication avec une maladie neurologique peut compliquer l'exercice » (Arnaud Saj, Les troubles de conversion et les neurosciences cognitives, in : Revue de neuropsychologie, vol. 3, n° 3, 2011, p. 189-193, 189). Le trouble de conversion « comprend un ou plusieurs symptômes ou déficits neurologiques produits inconsciemment et involontairement, touchant habituellement la motricité volontaire ou les fonctions sensorielles. Les manifestations sont incompatibles avec les mécanismes physiopathologiques ou les voies anatomiques connus. Le début, l'aggravation et le maintien des symptômes du trouble de conversion sont souvent associés à des facteurs psychologiques, tels que le stress. Le diagnostic repose sur l'anamnèse après l'exclusion de troubles physiques » (Joel E. Dimsdale, in Manuel Merck, version prof., ad Trouble de conversion, www.merckmanuals.com, site internet consulté le 12.10. 2017).</w:t>
      </w:r>
    </w:p>
    <w:p>
      <w:r>
        <w:rPr>
          <w:b/>
        </w:rPr>
        <w:t>E. 10.3</w:t>
      </w:r>
    </w:p>
    <w:p>
      <w:r>
        <w:t>Sur la base de la nouvelle documentation reçue le Dr M._______, médecine interne, en charge de l'appréciation somatique de l'état de santé de l'intéressé, ne requit pas de l'OAIE, comme il aurait dû le faire, la production du rapport E 213 pourtant requis et essentiel à son appréciation du status de l'intéressé et de ses limitations fonctionnelles éventuelles alors qu'il avait eu connaissance par le rapport médical du Dr K._______ d'un certain nombre d'atteintes à la santé simplement listées mentionnant une stéatose hépatique, un trouble de l'adaptation, une discopathie C4-C7, une pseudarthrose du scaphoïde gauche, une dystrophie sympathique réflexe de la main gauche, un syndrome d'hyperlaxité ligamentaire, une chondropathie rotulienne de grade IV de la rotule droite avec tendinite rotulienne et du quadriceps, une chondropathie rotulienne de grade III de la rotule gauche avec champs chirurgicaux et possible réaction, une granulomatose à corps externe, atteintes aux genoux documentées par un rapport radiologique. Ce n'est en effet que par le rapport E 213 manquant au dossier que le Dr M._______ aurait pu par une appréciation des limitations fonctionnelles normalement y relatées estimer, par un premier examen, la portée des atteintes listées dans le rapport du Dr K._______ et cas échéant solliciter un complément de rapports médicaux. Dans son rapport à finalité somatique du 4 décembre 2014 le Dr M._______, médecine interne, ne s'est prononcé que et uniquement que sur l'absence de trouble de conversion non repris dans les 8 lignes consacrées au status psychiatrique actualisé de l'assuré, relevant de son appréciation, vu cette absence de diagnostic, une amélioration de l'état de santé de l'intéressé devant être confirmée par un médecin psychiatre du SMR. Certes le Dr M._______ a dans son rapport suivant du 23 février 2015 relevé que l'important handicap non contesté du poignet gauche (« die unbestrittene starke Behinderung des linken Handgelenkes ») ne s'était pas amélioré (énoncé en discordance avec la constatation qu'un trouble de conversion n'était plus présent vu la nature même de cette atteinte touchant la motricité volontaire dans un contexte d'affection psychoneurololgique indéterminée) et repris les limitations fonctionnelles déterminées en 2006 par le SMR et a aussi évoqué les autres atteintes à la santé de l'intéressé indiquant qu'elles n'avaient pas d'incidence pour une activité adaptée, mais cette appréciation ne s'est pas fondée sur une nouvelle documentation médicale complétant les atteintes simplement listées par le Dr K._______. Manifestement le status somatique de l'assuré, dont il y a lieu de relever que le diagnostic de trouble de conversion nécessite un examen approfondi et spécialisé multidisciplinaire (Saj, op. cit., p. 193) n'a pas été correctement établi conformément à l'art. 43 al. 1 LPGA, ne serait-ce au moins par un complément au rapport du Dr K._______ trop sommaire qu'un rapport E 213 aurait permis de relativiser ou de motiver des investigations complémentaires.</w:t>
      </w:r>
    </w:p>
    <w:p>
      <w:r>
        <w:rPr>
          <w:b/>
        </w:rPr>
        <w:t>E. 10.4</w:t>
      </w:r>
    </w:p>
    <w:p>
      <w:r>
        <w:t>Dans son rapport du 19 décembre 2014 le Dr O._______, psychiatre, releva les diagnostics somatiques de l'intéressé tels que relatés par le rapport du 22 août 2014 du Dr K._______ sans se prononcer à leur sujet et nota que d'un point de vue purement psychiatrique l'intéressé ne présentait pas de limitations à compter de l'examen du Dr N._______. En ce faisant le Dr O._______ a réservé à l'attention du Dr M._______ et de l'office AI une appréciation du point de vue somatique n'ayant pas été faite. Dans son rapport le Dr O._______ a retenu avec le Dr N._______ sur la base de son rapport un trouble actuel de l'adaptation réaction dépressive prolongée (F43.21) sans trouble de conversion et indiqua que d'un point de vue psychiatrique il y avait une amélioration de l'état de santé de l'intéressé et plus d'incapacité de travail, relevant que l'intéressé avait été traité avec des antidépresseurs jusqu'en 2009 et qu'il ne prenait plus que des tranquillisants. Le rapport du Dr O._______ se fonde en fait sur les 8 lignes consacrées au status psychiatrique actualisé de l'intéressé qui sont, il est vrai, claires, précisant que la symptomatologie psychique actuelle limitait modérément la capacité de travail de l'intéressé. La question de sa qualité probante vu son caractère succinct et vu la composante psychiatrique antérieure importante dont l'appréciation a été nuancée par le SMR en 2007 à la suite de l'hospitalisation de l'intéressé à la CRR (cf. supra A.d), que le Tribunal fédéral a d'ailleurs relevé dans son arrêt du 8 novembre 2011 (cf. supra C), se pose néanmoins (voir supra 10.3 et la réf. à Saj, loc. cit.). Dans ses écritures le recourant fait valoir que ce n'est pas parce que le Dr N._______ n'avait pas mentionné ni abordé la question d'un trouble de conversion, diagnostic retenu par le Dr K._______ sous la désignation de dystrophie sympathique réflexe, qu'il était possible de retenir qu'il ne souffrait plus d'un tel trouble. A l'appui de son assertion l'intéressé fit établir par le Dr N._______ une note du 7 avril 2015 selon lequel celui-ci indiqua que son avis reposait sur la base de l'examen psychopathologique et non physique (main gauche). En soi cette note du 7 avril 2015 émanant d'un psychiatre n'est pas sans poser de problèmes d'interprétation car elle paraît a priori ne pas intégrer l'atteinte en question à un examen psychopathologique. En tous les cas les 8 lignes sur le status psychiatrique actuel de l'intéressé du Dr N._______ complétées de sa note du 7 avril 2015 indiquant que la question d'un trouble de conversion n'a pas été examinée ne sauraient fonder un diagnostic psychiatrique propre à mettre un terme au versement d'une demi-rente d'invalidité allouée initialement pour une atteinte principalement psychiatrique en relation à un trouble de conversion. Il n'appert pas du dossier que le Dr N._______ avait connaissance des rapports médicaux déjà existants et qu'il devait répondre à des questions spécifiques p.ex. concernant l'existence ou non d'un trouble de conversion (cf. pce 64). Son rapport psychiatrique (pce 66) indique avoir été établi sur la base de la consultation du 21 octobre 2014, soit sur la base de ce que l'intéressé lui aura communiqué de son passé.</w:t>
      </w:r>
    </w:p>
    <w:p>
      <w:r>
        <w:rPr>
          <w:b/>
        </w:rPr>
        <w:t>E. 11</w:t>
      </w:r>
    </w:p>
    <w:p>
      <w:r>
        <w:t>En résumé, compte tenu que la décision attaquée ne s'est fondée que sur une liste d'atteintes somatiques du Dr K._______ du 22 août 2014 non complétée au moins, ne serait-ce, par un rapport E 213 s'étant prononcé sur les répercussions fonctionnelles des atteintes sur la mobilité de l'intéressé, et que le rapport psychiatrique déterminant au dossier du Dr N._______ du 21 octobre 2014, complété de sa note du 7 avril 2015, ne pouvaient permettre au service médical de l'AI, sur cette seule base, outre le rapport radiologique du Dr L._______ du 10 juin 2014 attestant d'atteintes aux rotules, d'effectuer une appréciation complète de l'état de santé actuel de l'intéressé selon les réquisits propres aux rapports médicaux sur dossier, lesquels nécessitent un complément d'instruction s'il subsiste des doutes mêmes minimes (cf. supra consid. 7.1.1. et 7.4 et la jurisprudence citée), il sied d'annuler la décision attaquée et de retourner le dossier à l'autorité inférieure (art. 61 PA; ATF 137 V 210 consid. 4.4.1.4) afin qu'elle ordonne une expertise psychiatrique, rhumatologique respectivement orthopédique, éventuellement avec un complément neurologique, en Suisse et rende une nouvelle décision sur la capacité résiduelle de travail de l'intéressé. La coordination des spécialisations est selon la pratique constante une part centrale de l'interdisciplinarité. Les experts mandatés sont en dernier lieu responsables de la qualité et complétude des rapports établis dans un cadre interdisciplinaire et des conclusions interdisciplinaires retenues mais aussi d'examens effectués selon le principe d'économicité (cf. ATF 139 V 349 consid. 3.3). Il sied de relever qu'en l'occurrence l'examen notamment du trouble de conversion nécessite une approche pluridisciplinaire (Saj, op. cit., p. 193) dont il apert manifestement qu'elle n'a pas été effectuée à la lecture même des rapports à la base des appréciations des Drs M._______ et O._______. Le Dr N._______ a expressément indiqué n'avoir pas examiné l'intéressé sous l'angle d'un trouble de conversion en lien avec le membre supérieur gauche. 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w:t>
      </w:r>
    </w:p>
    <w:p>
      <w:r>
        <w:rPr>
          <w:b/>
        </w:rPr>
        <w:t>E. 12.1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12.2</w:t>
      </w:r>
    </w:p>
    <w:p>
      <w:r>
        <w:t>Vu l'issue du recours il n'est pas perçu de frais de procédure (art. 63 al. 2 PA). L'avance de frais de 400.- francs fournie par le recourant en cours de procédure lui est restituée.</w:t>
      </w:r>
    </w:p>
    <w:p>
      <w:r>
        <w:rPr>
          <w:b/>
        </w:rPr>
        <w:t>E. 12.3</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Selon l'art. 14 FITAF les parties qui ont droit au dépens et les avocats commis d'office doivent faire parvenir avant le prononcé un décompte de leurs prestations au tribunal (al. 1). A défaut de décompte, le tribunal fixe l'indemnité sur la base du dossier (al. 2, 2e phr.). En l'espèce, le recourant ayant agi par l'intermédiaire d'un mandataire professionnel n'ayant pas produit de note d'honoraires, il est alloué à la partie recourante une indemnité de dépens de 2'800.- francs non soumises à la TVA (art. 1er et 8 de la loi fédérale du 12 juin 2009 régissant la taxe sur la valeur ajoutée [RS 641.20 ; LTVA]) à charge de l'autorité inférieure tenant compte de l'issue du recours, de l'importance et de la complexité de la cause sans égard à la valeur litigieuse, du travail effectué nécessaire et du temps consacré par le représentant du recourant.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