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C-4270/2008 vom 1. April 2010</w:t>
      </w:r>
    </w:p>
    <w:p>
      <w:r>
        <w:t>Bundesverwaltungsgericht, 2010-04-01, FR</w:t>
      </w:r>
    </w:p>
    <w:p>
      <w:r>
        <w:rPr>
          <w:b/>
        </w:rPr>
        <w:t xml:space="preserve">Quelle: </w:t>
      </w:r>
      <w:r>
        <w:t>https://mcp.opencaselaw.ch/entscheid/bvger_C-4270_2008</w:t>
      </w:r>
    </w:p>
    <w:p>
      <w:r>
        <w:t>FR: TAF C-4270/2008 du 1 avril 2010</w:t>
      </w:r>
    </w:p>
    <w:p>
      <w:r>
        <w:t>IT: TAF C-4270/2008 del 1 aprile 2010</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(pce 1 TAF) et la forme prescrits (art. 60 LPGA et 52 PA), l'avance de frais fournie dans le délai (cf. pces 15 à 17 TAF), il est entré en matière sur le fond du recours.</w:t>
      </w:r>
    </w:p>
    <w:p>
      <w:r>
        <w:rPr>
          <w:b/>
        </w:rPr>
        <w:t>E. 3</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La recourante a présenté sa demande de rente le 14 mai 2004.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14 mai 2003 (12 mois avant le dépôt de la demande) ou si le droit à une rente était né entre cette date et le 28 mai 2008, date de la décision attaquée marquant la limite dans le temps du pouvoir d'examen de l'autorité de recours (ATF 130 V 445 consid. 1.2 et 1.2.1).</w:t>
      </w:r>
    </w:p>
    <w:p>
      <w:r>
        <w:rPr>
          <w:b/>
        </w:rPr>
        <w:t>E. 6.1</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6.2</w:t>
      </w:r>
    </w:p>
    <w:p>
      <w:r>
        <w:t>En l'occurrence, la recourante a versé des cotisations à l'AVS/AI pendant plus de trois années au total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7.5</w:t>
      </w:r>
    </w:p>
    <w:p>
      <w:r>
        <w:t>Selon l'art. 8 al. 3 LPGA et 5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27 du Règlement sur l'assurance-invalidité du 17 janvier 1961 (RAI, RS 831.201) précise que par travaux habituels des assurés travaillant dans le ménage, il faut entendre, notamment, l'activité usuelle dans le ménage, l'éducation des enfants ainsi que toute activité artistique ou d'utilité publique. Il faut toutefois préciser que lorsque l'assuré exerce une activité lucrative à temps partiel, l'invalidité pour cette activité est évaluée selon l'art. 16 LPGA. S'il accomplit ses travaux habituels, l'invalidité est fixée selon l'art. 28 al. 2bis LAI pour cette activité-là. Dans ce cas, les parts respectives de l'activité lucrative et de l'accomplissement des travaux habituels sont déterminées; le taux d'invalidité est calculé d'après le handicap dont la personne est affectée dans les deux domaines d'activité (art. 28 al. 2ter LAI; méthode mixte).</w:t>
      </w:r>
    </w:p>
    <w:p>
      <w:r>
        <w:rPr>
          <w:b/>
        </w:rPr>
        <w:t>E. 8.1</w:t>
      </w:r>
    </w:p>
    <w:p>
      <w:r>
        <w:t>La recourante a travaillé comme frontalière en Suisse, à compter du 1er février 2000, en qualité d'ouvrière en horlogerie à 80%. Le 6 avril 2003, en se rendant en voiture à son travail, elle a été victime d'un malaise, a perdu connaissance et sa voiture est sortie de la route. L'assurée n'a, depuis ce jour, plus repris son activité lucrative.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8.2</w:t>
      </w:r>
    </w:p>
    <w:p>
      <w:r>
        <w:t>Chez les assurés travaillant dans le ménage, le degré d'invalidité se détermine, en règle générale, au moyen d'une enquête économique sur place (VSI 2001 p. 158 consid. 3c), alors que l'incapacité de travail correspond à la diminution - attestée médicalement - du rendement fonctionnel dans l'accomplissement des travaux habituels. Dans le cadre de la méthode mixte, il y a lieu de se fonder, par analogie à l'évaluation du degré d'invalidité, sur la moyenne pondérée de l'incapacité de travail dans les deux secteurs d'activité. Le Tribunal fédéral des assurances a précisé qu'en cas d'atteinte à la santé psychique, l'enquête sur les activités ménagères est un moyen approprié pour évaluer l'invalidité de ces personnes. Toutefois,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ATF 130 V 97 consid. 3.3).</w:t>
      </w:r>
    </w:p>
    <w:p>
      <w:r>
        <w:rPr>
          <w:b/>
        </w:rPr>
        <w:t>E. 9</w:t>
      </w:r>
    </w:p>
    <w:p>
      <w:r>
        <w:t>En l'espèce, il est établi que la recourante souffre essentiellement de troubles anxieux d'intensité modérée, se traduisant par des troubles dissociatifs avec malaises et pertes de connaissance.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déterminante pour le début du droit à la rente.</w:t>
      </w:r>
    </w:p>
    <w:p>
      <w:r>
        <w:rPr>
          <w:b/>
        </w:rPr>
        <w:t>E. 10</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dans sa nouvelle teneur en vigueur à compter du 1er janvier 2008). Le Tribunal de céans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l'occurrence, l'autorité inférieure a considéré que l'assurée ne peut plus reprendre son ancienne activité d'ouvrière dans l'horlogerie et dès lors effectué une comparaison de ses revenus d'invalide et sans invalidité. L'autorité lui a reconnu un taux d'invalidité de 41% depuis le 6 avril 2003 ainsi que de 48% dès le 1er août 2005 et lui a, par conséquent, octroyé un quart de rente d'invalidité à partir du 1er avril 2004. La recourante, pour sa part, fait valoir en substance que la sécurité sociale française l'a reconnue totalement incapable de travailler dans toute activité professionnelle et qu'il devrait dès lors en être de même en Suisse. Elle expose ne plus pouvoir exercer d'activité lucrative et conclut, implicitement, à l'octroi d'une rente d'invalidité supérieure.</w:t>
      </w:r>
    </w:p>
    <w:p>
      <w:r>
        <w:rPr>
          <w:b/>
        </w:rPr>
        <w:t>E. 11.2</w:t>
      </w:r>
    </w:p>
    <w:p>
      <w:r>
        <w:t>Le Tribunal de céans relève qu'en l'espèce, dans ses prises de position des 19 décembre 2006 et 9 mai 2007, la Dresse E._______ du SMR, en se fondant sur le rapport d'expertise psychiatrique du 24 novembre 2006 de la Dresse D._______, la première fois a retenu une pleine capacité de travail de la recourante dans sa dernière profession et la seconde fois conclu à une capacité nulle. Or, aux questions "L'activité exercée jusqu'ici est-elle encore exigible? Si oui, dans quelle mesure (heures par jour)?", la Dresse D._______ a, en réalité, clairement répondu par l'affirmative, tout en précisant que ce travail devait s'effectuer dans un milieu aménagé, pour un employeur compréhensif disposé à tolérer ces troubles, à raison de 6 heures à 6 heures 30 par jour (70 à 80%). L'autorité inférieure ne saurait par conséquent être suivie lorsqu'elle nie l'existence d'une capacité de travail résiduelle de l'assurée dans son activité habituelle. D'ailleurs, au vu de la nature des affections diagnostiquées, on ne voit pas pourquoi la recourante serait handicapée davantage dans la profession d'ouvrière dans l'horlogerie que dans une autre activité professionnelle. Il ne serait toutefois pas opportun de se baser, sans autre forme de procès, sur les conclusions prises par la Dresse D._______ et ainsi de rejeter par une « reformatio in peius » la demande de prestations de la recourante. L'expertise psychiatrique effectuée par la Dresse D._______ le 16 novembre 2006 risque de ne plus correspondre à la situation clinique de la recourante existante à la date de la décision attaquée. D'ailleurs, d'autres documents médicaux plus récents, à l'exemple de l'attestation du 26 janvier 2007 du Dr C._______, concluent à une incapacité de travail totale de l'assurée dans toute activité. Une aggravation de l'état de santé de celle-ci, qui serait survenue après le 16 novembre 2006, ne peut donc être exclue avec une vraisemblance suffisante. Il est le lieu de rappeler (cf. supra 3.) à la recourante, pour le surplus, que la Suisse n'appartient pas à l'Union européenne et que, dès lors, seuls l'accord du 21 juin 1999 entre la Confédération suisse, d'une part, et la Communauté européenne et ses Etats membres, d'autre part, sur la libre circulation des personnes, entré en vigueur le 1er juin 2002 (ALCP, RS 0.142.112.681) et le règlement du 14 juin 1971 (CEE) N° 1408/71 du Conseil sont susceptibles de trouver application en l'espèce. Le degré d'invalidité d'un assuré qui prétend une rente de l'assurance-invalidité suisse est ainsi déterminé exclusivement d'après le droit suisse. Les décisions prises par la sécurité sociale française ne lient donc pas les autorités suisses. L'instruction de la demande de prestations AI est en outre lacunaire en ce qui concerne l'application de la méthode mixte. Il n'est en particulier pas établi que la recourante aurait repris une activité lucrative à 100% dès le 1er août 2005. Il semble qu'elle aurait déclaré ce fait lors de l'enquête économique sur le ménage du 31 mars 2008. Toutefois, par la suite, l'intéressée est revenue sur ses déclarations. Il convient dès lors d'approfondir ce point et, dans le cadre de l'instruction complémentaire, réexaminer si l'invalidité doit être évaluée selon la méthode mixte ou générale.</w:t>
      </w:r>
    </w:p>
    <w:p>
      <w:r>
        <w:rPr>
          <w:b/>
        </w:rPr>
        <w:t>E. 11.3</w:t>
      </w:r>
    </w:p>
    <w:p>
      <w:r>
        <w:t>Le recours doit, par voie de conséquence, être admis en ce sens que la décision attaquée doit être annulée et la cause renvoyée à l'OAIE, afin que celui-ci prenne une nouvelle décision, après avoir procédé à une instruction complémentaire (art. 61 PA). A cet effet, une nouvelle expertise psychiatrique sera effectuée. L'ensemble du dossier devra ensuite être soumis pour examen à un médecin du service médical de l'administration. L'autorité inférieure examinera à nouveau si l'invalidité de l'assurée doit être évaluée selon quelle méthode mixte ou générale.</w:t>
      </w:r>
    </w:p>
    <w:p>
      <w:r>
        <w:rPr>
          <w:b/>
        </w:rPr>
        <w:t>E. 12.1</w:t>
      </w:r>
    </w:p>
    <w:p>
      <w:r>
        <w:t>Selon la jurisprudence, la partie qui a formé recours est réputée avoir obtenu gain de cause lorsque la cause est renvoyée à l'administration pour instruction complémentaire et nouvelle décision (ATF 132 V 215 consid. 6.2). Il n'est donc pas perçu de frais de procédure (art. 63 al. 2 PA, applicable par renvoi de l'art. 37 LTAF). L'avance de frais de Fr. 300.-, versée par la recourante le 16 mars 2009, lui est remboursée.</w:t>
      </w:r>
    </w:p>
    <w:p>
      <w:r>
        <w:rPr>
          <w:b/>
        </w:rPr>
        <w:t>E. 12.2</w:t>
      </w:r>
    </w:p>
    <w:p>
      <w:r>
        <w:t>En vertu de l'art. 64 PA et de l'art. 7 du règlement du 11 décembre 2006 concernant les frais, dépens et indemnités fixés par le Tribunal administratif fédéral (FITAF, RS 173.320.2), la partie ayant obtenu entièrement ou partiellement gain de cause a droit à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essentiellement consisté dans la rédaction d'un recours d'une page et d'une écriture ampliative de quatre pages. Il se justifie dès lors d'allouer à la partie recourante une indemnité à titre de dépens de Fr. 1'000.-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