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C-4267/2015 vom 16. Juni 2016</w:t>
      </w:r>
    </w:p>
    <w:p>
      <w:r>
        <w:t>Bundesverwaltungsgericht, 2016-06-16, FR</w:t>
      </w:r>
    </w:p>
    <w:p>
      <w:r>
        <w:rPr>
          <w:b/>
        </w:rPr>
        <w:t xml:space="preserve">Quelle: </w:t>
      </w:r>
      <w:r>
        <w:t>https://mcp.opencaselaw.ch/entscheid/bvger_C-4267_2015</w:t>
      </w:r>
    </w:p>
    <w:p>
      <w:r>
        <w:t>FR: TAF C-4267/2015 du 16 juin 2016</w:t>
      </w:r>
    </w:p>
    <w:p>
      <w:r>
        <w:t>IT: TAF C-4267/2015 del 16 giugno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w:t>
      </w:r>
    </w:p>
    <w:p>
      <w:r>
        <w:rPr>
          <w:b/>
        </w:rPr>
        <w:t>E. 2.2</w:t>
      </w:r>
    </w:p>
    <w:p>
      <w:r>
        <w:t>Le TAF, qui applique d'office le droit fédéral, n'est pas lié par les motifs invoqués à l'appui du recours (art. 62 al. 4 PA), ni par les considérants de la décision attaquée (cf. André Moser et al., Prozessieren vor dem Bundesverwaltungsgericht, Handbücher für die Anwaltspraxis, Tome X, 2ème éd., Bâle 2013, p. 226/227, ad ch. 3.197). Aussi peut-il admettre ou rejeter le pourvoi pour d'autres motifs que ceux invoqués. Dans son arrêt, il prend en considération l'état de fait existant au moment où il statue (cf. ATAF 2014/1 consid. 2, et jurisprudence citée).</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3.3</w:t>
      </w:r>
    </w:p>
    <w:p>
      <w:r>
        <w:t>Lorsqu'une décision d'interdiction d'entrée au sens de l'art. 67 LEtr est prononcée à l'endroit d'une personne non-ressortissante de l'un des Etats parties aux Accords d'association à Schengen (lesquels sont énumérés à l'annexe 1 ch. 1 de la LEtr), cette personne - conformément aux art. 94 par. 1 et 96 de la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qui a repris sans les modifier le contenu de l'art. 13 par. 1 en relation avec l'art. 5 par. 1 let. d du règlement abrogé).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14 par. 1, en relation avec l'art. 6 par. 5 let. c du code frontières Schengen, qui a repris sans les modifier le contenu des art. 13 par. 1, en relation avec l'art. 5 par. 4 let. c du règlement abrogé),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C-6801/2010 du 1er avril 2011 consid. 4 et C-1667/2010 du 21 mars 2011 consid. 3.3). 3.4.1 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3.4.2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3.4.3 Selon le Message précité (cf. p. 3568), l'interdiction d'entrée permet d'empêcher l'entrée ou le retour en Suisse d'un étranger dont le séjour y est indésirable. Elle n'est pas considérée comme une peine sanctionnant un comportement déterminé, mais une mesure ayant pour but de prévenir une atteinte à la sécurité et à l'ordre publics.</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Uebersax/Rudin/Hugi Yar/Geiser [éd.], Ausländerrecht, 2ème éd., Bâle 2009, ch. 8.80 p. 356). 4.1 En l'occurrence, l'autorité intimée a prononcé le 12 juin 2015 à l'encontre de A._______ une décision d'interdiction d'entrée en Suisse d'une durée de trois ans, au motif qu'elle avait attenté à la sécurité et à l'ordre publics au sens de l'art. 67 LEtr. 4.2 En effet, par ordonnance pénale du 21 avril 2015, le Ministère public de la République et canton de Genève a constaté que de 2008 jusqu'au 1er avril 2015, A._______ avait séjourné en Suisse et y avait travaillé en qualité de baby-sitter, sans être en possession des autorisations nécessaires, et qu'entre les 16 et 17 février 2015, elle avait, par méchanceté, téléphoné à une dizaine de reprises au moyen d'un numéro masqué sur les téléphones fixe et portable d'un tiers, faits établis et admis par la prénommée. L'autorité pénale a ainsi reconnu A._______ coupable de séjour illégal (art. 115 al. 1 let. b LEtr), d'exercice d'une activité lucrative sans autorisation (art. 115 al. 1 let. c LEtr) et d'utilisation abusive d'une installation de télécommunication (art. 179 septies CP) et l'a condamnée à une peine pécuniaire de 60 jours-amende (le jour-amende étant fixé à 30 francs), avec sursis durant 3 ans et à une amende de 200 francs. Dite ordonnance, qui n'a pas fait l'objet d'un recours, est entrée en force et exécutoire. 4.3 La recourante a allégué qu'excepté une malheureuse erreur de jalousie qu'elle regrettait et qui l'avait amenée devant la police, son comportement durant toutes ces années en Suisse avait été irréprochable (détermination du 9 octobre 2015). 4.4 A ce stade, il suffit de relever que les faits reprochés à A._______ dans la mesure d'éloignement (séjour illégal, exercice d'une activité lucrative sans autorisation et utilisation abusive d'une installation de télécommunication) sont établis et reconnus. Par ailleurs, le Ministère public du canton de Genève a souligné, dans l'ordonnance pénale du 21 avril 2015, que la recourante n'avait pour motivations qu'un regrettable mépris de la législation en vigueur, ainsi qu'un comportement colérique, mal maîtrisé, aux dépens d'autrui. Les faits reprochés portent atteinte à la sécurité et à l'ordre publics au sens de l'art. 80 al. 1 let. a OASA. L'intéressée se devait de respecter la législation en vigueur en Suisse, ce qu'elle n'a manifestement pas fait en l'état. C'est le lieu de rappeler qu'il existe deux régimes juridiques différents concernant le prononcé des interdictions d'entrée, selon que l'intéressé est ressortissant d'un état de l'Union européenne ou d'un état tiers. En l'occurrence, A._______ est une ressortissante zimbabwéenne, soit un état tiers, de sorte que le prononcé querellé s'examinera à l'aune de la LEtr,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 4.5 Compte tenu de ce qui précède, force est d'admettre que l'interdiction d'entrée prononcée le 12 juin 2015 en application de l'art. 67 LEtr est parfaitement justifiée dans son principe, A._______ ayant bien attenté à la sécurité et à l'ordre publics par son comportement.</w:t>
      </w:r>
    </w:p>
    <w:p>
      <w:r>
        <w:rPr>
          <w:b/>
        </w:rPr>
        <w:t>E. 5</w:t>
      </w:r>
    </w:p>
    <w:p>
      <w:r>
        <w:t>Il convient encore d'examiner si la mesure d'éloignement prise par l'autorité intimée satisfait aux principes de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136 IV 97 consid. 5.2.2, 135 I 176 consid. 8.1). En l'espèce, il appert que les motifs retenus à l'appui de la mesure d'éloignement prise à l'endroit de A._______ (séjour et travail illégaux, contravention à l'art. 179 septies CP) ne sauraient être contestés et que l'intérêt public à son éloignement est important, dans la mesure où elle a violé sur une période prolongée des dispositions de droit des étrangers. Les infractions aux prescriptions de police des étrangers ainsi perpétrées doivent être qualifiées de grave.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C-5001/2014 du 30 juin 2015 consid. 6.2 et jurisprudence citée). La jurisprudence constante a confirmé une interdiction d'entrée de trois ans à ce titre (cf. notamment arrêts du TAF C-5366/2015 du 21 janvier 2016 consid 6.3, 2C-2336/2014 du 13 janvier 2016 consid. 6.2). Dans le cadre de l'analyse du principe de proportionnalité au sens étroit, l'intérêt privé de la recourante à pouvoir venir en Suisse est un élément qui doit être examiné. Dans ce contexte, elle a allégué qu'elle souhaitait contracter mariage avec un ressortissant suisse et a transmis le courrier d'un office de l'état civil genevois, daté du 29 juin 2015, lui demandant de rapporter la preuve de la légalité de son séjour en Suisse, afin de pouvoir établir les actes préparatoires au mariage. Or, bien que l'OCPM-GE lui ait délivré à cette fin le 10 décembre 2015, une attestation en vue du mariage, que le SEM lui ait octroyé le 15 décembre 2015 un sauf-conduit valable du 15 décembre 2015 au 14 mars 2016 pour lui permettre de poursuivre la procédure de mariage et que le Tribunal l'ait expressément invitée, par ordonnance du 6 janvier 2016, à rapporter la preuve de la conclusion de son mariage dans un délai échéant au 14 mars 2016, A._______ n'a pas concrétisé ses projets ni donné suite à l'ordonnance du TAF. Dans ces conditions, le Tribunal estime que les éléments mis en avant par la recourante - lesquels ne sont au demeurant plus aucunement étayés par pièce depuis le 15 décembre 2015 - et son intérêt privé à se déplacer librement en Suisse et dans l'Espace Schengen ne sauraient être considérés comme prépondérants par rapport à l'intérêt public à son éloignement du territoire helvétique.</w:t>
      </w:r>
    </w:p>
    <w:p>
      <w:r>
        <w:rPr>
          <w:b/>
        </w:rPr>
        <w:t>E. 5.2</w:t>
      </w:r>
    </w:p>
    <w:p>
      <w:r>
        <w:t>Enfin, le Tribunal constate, au vu de l'ensemble du dossier, qu'il n'existe pas de raisons humanitaires ou d'autres motifs importants justifiant l'abstention ou la suspension de la mesure d'éloignement au sens de de l'art. 67 al. 5 LEtr.</w:t>
      </w:r>
    </w:p>
    <w:p>
      <w:r>
        <w:rPr>
          <w:b/>
        </w:rPr>
        <w:t>E. 5.3</w:t>
      </w:r>
    </w:p>
    <w:p>
      <w:r>
        <w:t>Tenant compte de l'ensemble des éléments objectifs et subjectifs de la cause, le Tribunal conclut que la mesure d'éloignement prise par le SEM le 12 juin 2015 est nécessaire et adéquate afin de prévenir toute nouvelle atteinte à la sécurité et à l'ordre publics en Suisse. En outre, la durée de la mesure respecte le principe de proportionnalité et correspond à celle prononcée dans des cas analogues (cf. notamment arrêt du TAF C-5366/2015 du 21 janvier 2016 consid. 6.3).</w:t>
      </w:r>
    </w:p>
    <w:p>
      <w:r>
        <w:rPr>
          <w:b/>
        </w:rPr>
        <w:t>E. 5.4</w:t>
      </w:r>
    </w:p>
    <w:p>
      <w:r>
        <w:t>Le SEM a par ailleurs ordonné l'inscription de l'interdiction d'entrée dans le SIS. En raison de ce signalement dans le SIS, il est interdit à la recourante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6</w:t>
      </w:r>
    </w:p>
    <w:p>
      <w:r>
        <w:t>Vu ce qui précède, le Tribunal est amené à conclure que la décision querellée est conforme au droit (cf. art. 49 PA). Le recours est en conséquence rejeté. Au vu de l'issue de la procédure,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