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C-4264/2013 vom 20. April 2015</w:t>
      </w:r>
    </w:p>
    <w:p>
      <w:r>
        <w:t>Bundesverwaltungsgericht, 2015-04-20, DE</w:t>
      </w:r>
    </w:p>
    <w:p>
      <w:r>
        <w:rPr>
          <w:b/>
        </w:rPr>
        <w:t xml:space="preserve">Quelle: </w:t>
      </w:r>
      <w:r>
        <w:t>https://mcp.opencaselaw.ch/entscheid/bvger_C-4264_2013</w:t>
      </w:r>
    </w:p>
    <w:p>
      <w:r>
        <w:t>FR: TAF C-4264/2013 du 20 avril 2015</w:t>
      </w:r>
    </w:p>
    <w:p>
      <w:r>
        <w:t>IT: TAF C-4264/2013 del 20 aprile 2015</w:t>
      </w:r>
    </w:p>
    <w:p>
      <w:pPr>
        <w:pStyle w:val="Heading2"/>
      </w:pPr>
      <w:r>
        <w:t>Regeste</w:t>
      </w:r>
    </w:p>
    <w:p>
      <w:r>
        <w:t>Tarife der Leistungserbringer</w:t>
      </w:r>
    </w:p>
    <w:p>
      <w:pPr>
        <w:pStyle w:val="Heading2"/>
      </w:pPr>
      <w:r>
        <w:t>Erwägungen</w:t>
      </w:r>
    </w:p>
    <w:p>
      <w:r>
        <w:rPr>
          <w:b/>
        </w:rPr>
        <w:t>E. 2</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Der angefochtene Beschluss ist somit aufgrund des revidierten KVG und dessen Ausführungsbestimmungen zu beurteilen.</w:t>
      </w:r>
    </w:p>
    <w:p>
      <w:r>
        <w:rPr>
          <w:b/>
        </w:rPr>
        <w:t>E. 2.1</w:t>
      </w:r>
    </w:p>
    <w:p>
      <w:r>
        <w:t>Spitäler sind nach Art. 39 Abs. 1 (in Verbindung mit Art. 35) KVG zur Tätigkeit zu Lasten der obligatorischen Krankenpflegeversicherung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2.2</w:t>
      </w:r>
    </w:p>
    <w:p>
      <w:r>
        <w:t>Gemäss Art. 43 KVG erstellen die (zugelassenen) Leistungserbringer ihre Rechnungen nach Tarifen oder Preisen (Abs. 1).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 stehende und zweckmässige gesundheitliche Versorgung zu möglichst günstigen Kosten erreicht wird (Abs. 6). Der Bundesrat kann Grundsätze für eine wirtschaftliche Bemessung und eine sachgerechte Struktur sowie für die Anpassung der Tarife aufstellen. Er sorgt für die Koordination mit den Tarifordnungen der anderen Sozialversicherungen (Abs. 7).</w:t>
      </w:r>
    </w:p>
    <w:p>
      <w:r>
        <w:rPr>
          <w:b/>
        </w:rPr>
        <w:t>E. 2.3</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 Kommt zwischen Leistungserbringern und Versicherern kein Tarifvertrag zustande, so setzt die Kantonsregierung nach Anhören der Beteiligten den Tarif fest (Art. 47 Abs. 1 KVG).</w:t>
      </w:r>
    </w:p>
    <w:p>
      <w:r>
        <w:rPr>
          <w:b/>
        </w:rPr>
        <w:t>E. 2.4</w:t>
      </w:r>
    </w:p>
    <w:p>
      <w:r>
        <w:t>Art. 49 KVG trägt den Titel "Tarifverträge mit Spitälern". Obwohl sich diese Bestimmung nach ihrem Wortlaut (nur) an die Tarifparteien richtet, sind die darin verankerten Grundsätze auch bei einer hoheitlichen Festsetzung im Sinne von Art. 47 KVG zu beachten (BVGE 2014/3 E. 2.7).</w:t>
      </w:r>
    </w:p>
    <w:p>
      <w:r>
        <w:rPr>
          <w:b/>
        </w:rPr>
        <w:t>E. 2.4.1</w:t>
      </w:r>
    </w:p>
    <w:p>
      <w:r>
        <w:t>Nach Abs. 1 des Art. 49 KVG vereinbaren die Vertragsparteien für die Vergütung der stationären Behandlung einschliesslich Aufenthalt und Pflegeleistungen in einem Spital (Art. 39 Abs. 1) oder einem Geburtshaus (Art. 29) Pauschalen.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w:t>
      </w:r>
    </w:p>
    <w:p>
      <w:r>
        <w:rPr>
          <w:b/>
        </w:rPr>
        <w:t>E. 2.4.2</w:t>
      </w:r>
    </w:p>
    <w:p>
      <w:r>
        <w:t>Die gestützt auf Art. 49 Abs. 2 KVG von den Tarifpartnern und den Kantonen eingesetzte SwissDRG AG ist für die Erarbeitung und Weiterentwicklung der Tarifstruktur zuständig. Die Tarifstruktur und deren Anpassungen sind vom Bundesrat zu genehmigen (Art. 49 Abs. 2 Satz 5 KVG). Die ab 1. Januar 2012 im akutsomatischen Bereich anwendbare Version 1.0 der Tarifstruktur SwissDRG wurde vom Bundesrat am 6. Juli 2011 genehmigt (vgl. Medienmitteilung des Bundesrates vom 6. Juli 2011 "Bundesrat genehmigt die neue Tarifstruktur SwissDRG").</w:t>
      </w:r>
    </w:p>
    <w:p>
      <w:r>
        <w:rPr>
          <w:b/>
        </w:rPr>
        <w:t>E. 2.4.3</w:t>
      </w:r>
    </w:p>
    <w:p>
      <w:r>
        <w:t>Laut Art. 49 Abs. 3 KVG dürfen die Vergütungen nach Abs. 1 keine Kostenanteile für gemeinwirtschaftliche Leistungen enthalten. Dazu gehören insbesondere die Aufrechterhaltung von Spitalkapazitäten aus regionalpolitischen Gründen (Bst. a) sowie die Forschung und universitäre Lehre (Bst. b).</w:t>
      </w:r>
    </w:p>
    <w:p>
      <w:r>
        <w:rPr>
          <w:b/>
        </w:rPr>
        <w:t>E. 2.4.4</w:t>
      </w:r>
    </w:p>
    <w:p>
      <w:r>
        <w:t>Die Spitäler verfügen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 (Art. 49 Abs. 7 KVG).</w:t>
      </w:r>
    </w:p>
    <w:p>
      <w:r>
        <w:rPr>
          <w:b/>
        </w:rPr>
        <w:t>E. 2.4.5</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2.5</w:t>
      </w:r>
    </w:p>
    <w:p>
      <w:r>
        <w:t>Gestützt auf Art. 43 Abs. 7 KVG hat der Bundesrat Art. 59c KVV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3</w:t>
      </w:r>
    </w:p>
    <w:p>
      <w:r>
        <w:t>Streitig ist die vorinstanzliche Festsetzung eines Basisfallwerts (Baserate) für die leistungsbezogenen und auf der SwissDRG-Tarifstruktur beruhenden Fallpauschalen (Art. 49 Abs. 1 Satz 2 und 3 KVG). In zwei Grundsatzurteilen hat das Bundesverwaltungsgericht verschiedene auch im vorliegenden Verfahren umstrittene Fragen beurteilt (BVGE 2014/3, BVGE 2014/36).</w:t>
      </w:r>
    </w:p>
    <w:p>
      <w:r>
        <w:rPr>
          <w:b/>
        </w:rPr>
        <w:t>E. 3.1</w:t>
      </w:r>
    </w:p>
    <w:p>
      <w:r>
        <w:t>Im System der neuen Spitalfinanzierung bilden die individuellen Kosten eines Spitals die Grundlage für das Benchmarking beziehungsweise für die Ermittlung der benchmarking-relevanten Betriebskosten und der schweregradbereinigten Fallkosten (benchmarking-relevanter Basiswert). Der Basisfallwert (Baserate) hat aber nicht diesen Kosten zu entsprechen, da kein Kostenabgeltungsprinzip gilt. Die frühere - gestützt auf aArt. 49 Abs. 1 KVG entwickelte - Praxis zu den anrechenbaren Kosten ist nicht mehr anwendbar (BVGE 2014/3 E. 2.8.5). Effizienzgewinne von Spitälern (mit einem benchmarking-relevanten Basiswert unterhalb des gesetzeskonform bestimmten Benchmarks) sind nicht unzulässig (BVGE 2014/3 E. 2.9.4.4 und 2.9.5). Art. 59c Abs. 1 Bst. a KVV, wonach der Tarif höchstens die transparent ausgewiesenen Kosten der Leistung decken darf, ist in dem Sinne gesetzeskonform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w:t>
      </w:r>
    </w:p>
    <w:p>
      <w:r>
        <w:rPr>
          <w:b/>
        </w:rPr>
        <w:t>E. 3.2</w:t>
      </w:r>
    </w:p>
    <w:p>
      <w:r>
        <w:t>Die Preisbestimmung nach Art. 49 Abs. 1 Satz 5 KVG erfolgt aufgrund eines Vergleichs mit anderen Spitälern, welche die versicherte Leistung in der notwendigen Qualität effizient und günstig erbringen. Zur Ermittlung und Auswahl dieser als Referenz massgebenden Spitäler ist grundsätzlich ein Fallkosten-Betriebsvergleich notwendig (vgl. BVGE 2014/36 E. 3.6 und E. 6.7).</w:t>
      </w:r>
    </w:p>
    <w:p>
      <w:r>
        <w:rPr>
          <w:b/>
        </w:rPr>
        <w:t>E. 3.3</w:t>
      </w:r>
    </w:p>
    <w:p>
      <w:r>
        <w:t>Die Bestimmung, wonach Betriebsvergleiche nur unter vergleichbaren Spitälern durchzuführen sind (aArt. 49 Abs. 7 KVG) ist im revidierten Recht nicht mehr enthalten. Die möglichst hohe Transparenz und breite Vergleichbarkeit der Spitaltarife gehörte zu den Zielsetzungen der Gesetzesrevision. Das System der einheitlichen Tarifstruktur eröffnet grundsätzlich die Möglichkeit von Betriebsvergleichen über die Grenzen der Spitaltypen und -kategorien hinaus (BVGE 2014/36 E. 3.8).</w:t>
      </w:r>
    </w:p>
    <w:p>
      <w:r>
        <w:rPr>
          <w:b/>
        </w:rPr>
        <w:t>E. 3.4</w:t>
      </w:r>
    </w:p>
    <w:p>
      <w:r>
        <w:t>In BVGE 2014/36 wird dargelegt, welche Voraussetzungen zur Vergleichbarkeit der Fallkosten idealtypisch gegeben sein müssen (E. 4) und welche dieser Voraussetzungen noch fehlen beziehungsweise verbessert werden müssen (E. 5). Zu den Voraussetzungen, die fehlen beziehungsweise verbessert werden müssen, gehören insbesondere die schweizweit durchzuführenden Betriebsvergleiche zu Kosten (Art. 49 Abs. 8 KVG), die Vereinheitlichung der Kosten- und Leistungsermittlung (Art. 49 Abs. 7 KVG) und die Verfeinerung der Tarifstruktur. Hinsichtlich der künftigen Preisbildung ist es unabdingbar, dass die Verpflichtung zur Erstellung der Betriebsvergleiche, insbesondere hinsichtlich der Kosten, baldmöglichst umgesetzt wird. Auch in der Einführungsphase ist jedoch eine auf die vom Gesetzgeber angestrebten Ziele ausgerichtete Preisbestimmung erforderlich. Den Tarifpartnern, Festsetzungs- und Genehmigungsbehörden verbleibt die Möglichkeit, ersatzweise auf möglichst aussagekräftige vorhandene Daten abzustellen und erkannte Mängel mit sachgerechten Korrekturmassnahmen zu "überbrücken". Vor diesem Hintergrund wird das Bundesverwaltungsgericht - zumindest in der Phase der Einführung der leistungsbezogenen Fallpauschalen - den Vorinstanzen bei der Umsetzung der Preisbildungsregel nach Art. 49 Abs. 1 Satz 5 KVG beziehungsweise bei der Durchführung des Benchmarkings einen erheblichen Spielraum einzuräumen haben. Erscheint das Vorgehen der Vorinstanz als vertretbar, ist der Entscheid selbst dann zu schützen, wenn andere Vorgehensweisen als besser geeignet erscheinen, die vom Gesetzgeber angestrebten Ziele zu erreichen (BVGE 2014/36 E. 5.4, vgl. auch BVGE 2014/3 E. 10.1.4).</w:t>
      </w:r>
    </w:p>
    <w:p>
      <w:r>
        <w:rPr>
          <w:b/>
        </w:rPr>
        <w:t>E. 3.5</w:t>
      </w:r>
    </w:p>
    <w:p>
      <w:r>
        <w:t>Weiter prüfte das Gericht, welche Korrekturmassnahmen in einer Übergangsphase sachgerecht und vertretbar sein können (BVGE 2014/36 E. 6). So kann beispielsweise die Auswahl einer repräsentativen Teilmenge (Stichprobe) vertretbar sein, obwohl für den Betriebsvergleich idealerweise von der Grundgesamtheit aller akutsomatischen Spitäler auszugehen wäre (E. 6.1). Zur Bildung von Benchmarking-Gruppen (z.B. nach Spitalkategorie) hat das Gericht unter anderem erwogen, eine solche stehe im Widerspruch zur Grundidee eines schweizweiten, möglichst breit abgestützten Betriebsvergleichs (E. 6.6.1). Es stellte fest, dass für die zukünftige Entwicklung in der Preisfindungspraxis die Kategorisierung wenig zielführend sei, zumal bereits die Kategorienbildung Probleme verursache (E. 6.6.4). Dennoch könne in einer Einführungsphase der Entscheid einer Kantonsregierung, für spezielle Spitäler (z.B. Universitätsspitäler) auf einen eigenen Betriebsvergleich abzustellen, geschützt werden (E. 6.6.6). Zudem ist bei der Preisgestaltung unter Umständen der spezifischen Situation der Leistungserbringer Rechnung zu tragen, so dass - ausgehend von einem Referenzwert - aus Billigkeitsgründen differenzierte Basisfallwerte verhandelt oder festgesetzt werden müssen (vgl. dazu BVGE 2014/36 E. 6.8, s.a. E. 3.4 und E. 22.3 ff.).</w:t>
      </w:r>
    </w:p>
    <w:p>
      <w:r>
        <w:rPr>
          <w:b/>
        </w:rPr>
        <w:t>E. 3.6</w:t>
      </w:r>
    </w:p>
    <w:p>
      <w:r>
        <w:t>Obwohl das Benchmarking idealtypisch kostenbasiert und nicht aufgrund der verhandelten Preise zu erfolgen hat, sind Ausnahmen vom Grundsatz des Fallkostenvergleichs möglich. Solange für einzelne Kantone verwertbare Kostendaten fehlen, ist für eine Übergangsphase allenfalls auch die Orientierung an festgesetzten oder genehmigten Tarifen anderer Spitäler zu tolerieren. Im Rahmen eines solchen Preisbenchmarkings müsste jedoch geprüft werden, wie weit bei der Gestaltung der Vergleichstarife Verhandlungsspielräume beansprucht wurden, ob spitalindividuelle Besonderheiten berücksichtigt wurden, und ob diese auch für das zu beurteilende Spital gleichermassen zutreffen. Bei Preisvergleichen besteht die Gefahr, dass sich der Vergleich auf überhöhte oder unwirtschaftliche Verhandlungsergebnisse bezieht. Andererseits könnte ein Spital bereit sein, günstige Tarife der OKP zu akzeptieren, wenn sein Trägerkanton bereit ist, entsprechende Lücken durch Subventionen zu schliessen. Die Orientierung an solchen Tarifen wäre nicht sachgerecht. Ein Preisbenchmarking kann nur in Ausnahmefällen und unter besonderen Voraussetzungen sachgerecht sein. Die Verlässlichkeit der verwendeten Vergleichsdaten ist abhängig davon, wie sehr die gesetzlichen Vorgaben anlässlich der Genehmigung beachtet wurden. Die Festsetzung oder Genehmigung von Tarifen anhand einer Orientierung an bereits genehmigten oder festgesetzten Tarifen setzt eine bundesrechtskonforme Wirtschaftlichkeitsprüfung der Vergleichstarife voraus (BVGE 2014/36 E. 6.7, vgl. auch BVGE 2014/3 E. 10.3.2).</w:t>
      </w:r>
    </w:p>
    <w:p>
      <w:r>
        <w:rPr>
          <w:b/>
        </w:rPr>
        <w:t>E. 4</w:t>
      </w:r>
    </w:p>
    <w:p>
      <w:r>
        <w:t>Die Vorinstanz hat - ohne ein Benchmarking vorzunehmen - den Basisfallwert entsprechend den von ihr als genehmigungsfähig erachteten Tarifverträgen zwischen der Beschwerdegegnerin und anderen Krankenversicherern festgesetzt, weil gemäss § 8 Abs. 2 SpiG pro Leistungserbringer nur eine Baserate genehmigt oder festgesetzt werden könne.</w:t>
      </w:r>
    </w:p>
    <w:p>
      <w:r>
        <w:rPr>
          <w:b/>
        </w:rPr>
        <w:t>E. 4.1</w:t>
      </w:r>
    </w:p>
    <w:p>
      <w:r>
        <w:t>Das Bundesverwaltungsgericht hatte bereits im Urteil C-4460/2013 vom 29. Oktober 2014 (BVGE 2014/37) die Bundesrechtskonfomität des in § 8 Abs. 2 SpiG verankerten kantonalen Tarifgestaltungsgrundsatzes zu beurteilen. Entgegen der Annahme der Vorinstanz stellt § 8 Abs. 2 SpiG nicht eine zulässige Konkretisierung des Grundsatzes der Billigkeit im Sinne von Art. 46 Abs. 4 Satz 2 KVG dar. Vielmehr verstösst die kantonale Norm gegen diesen und weitere Grundsätze des KVG, namentlich das Vertragsprimat und die Vertragsfreiheit (BVGE 2014/37 E. 3.4-3.5.3).</w:t>
      </w:r>
    </w:p>
    <w:p>
      <w:r>
        <w:rPr>
          <w:b/>
        </w:rPr>
        <w:t>E. 4.2</w:t>
      </w:r>
    </w:p>
    <w:p>
      <w:r>
        <w:t>Nach der Rechtsprechung muss sodann der hoheitlich festgesetzte Tarif nicht mit dem vertraglich vereinbarten (und genehmigten) Tarif übereinstimmen (BVGE 2014/37 E. 3.5.2); der zuständigen kantonalen Behörde obliegen im Festsetzungsverfahren nach Art. 47 Abs. 1 KVG einerseits und im Genehmigungsverfahren nach Art. 46 Abs. 4 KVG andererseits unterschiedliche Aufgaben. Im Genehmigungsverfahren hat sie zu prüfen, ob der von den Tarifpartnern bestimmte Tarif mit dem Gesetz und den Geboten der Wirtschaftlichkeit und Billigkeit im Einklang steht. Im Festsetzungsverfahren hat die Behörde demgegenüber selbst einen Tarif zu bestimmen, wobei auch dieser mit den genannten Geboten im Einklang stehen muss. Bei der Preisfindung steht sowohl den Tarifparteien als auch der Festsetzungsbehörde innerhalb der gesetzlichen Schranken je ein Ermessensspielraum zu (BVGE 2014/37 E. 3.1, 2014/36 E. 24.3.3).</w:t>
      </w:r>
    </w:p>
    <w:p>
      <w:r>
        <w:rPr>
          <w:b/>
        </w:rPr>
        <w:t>E. 4.3</w:t>
      </w:r>
    </w:p>
    <w:p>
      <w:r>
        <w:t>Zwar hat das Bundesverwaltungsgericht der Kantonsregierung als Festsetzungsbehörde - zumindest in der Phase der Einführung der leistungsbezogenen Fallpauschalen - bei der Umsetzung der Preisbildungsregel nach Art. 49 Abs. 1 Satz 5 KVG beziehungsweise bei der Durchführung des Benchmarkings einen erheblichen Spielraum einzuräumen (vgl. E. 3.4). Nicht im Ermessen der Festsetzungsbehörde liegt jedoch der Entscheid, ob die Preisbildungsregel nach Art. 49 Abs. 1 Satz 5 KVG angewendet werden soll.</w:t>
      </w:r>
    </w:p>
    <w:p>
      <w:r>
        <w:rPr>
          <w:b/>
        </w:rPr>
        <w:t>E. 4.4</w:t>
      </w:r>
    </w:p>
    <w:p>
      <w:r>
        <w:t>Entgegen der Annahme der Vorinstanz (und der Preisüberwachung) ist nach neuem Recht nicht zuerst aufgrund der spitalindividuell kalkulierten Fallkosten (Schweregrad 1.0 [vgl. zu diesem Begriff BVGE 2014/3 Anhang S. 90]) ein Tarif zu berechnen und anschliessend zu prüfen, ob dieser wirtschaftlich sei. Die spitalindividuellen Kosten dienen der Ermittlung des Referenzwertes im Sinne von Art. 49 Abs. 1 Satz 5 KVG und somit nur (aber immerhin) mittelbar der Tariffestlegung. Unmittelbare Grundlage für Tarifverhandlungen und Orientierungsgrösse bei Tariffestsetzungen bildet der Referenzwert (nicht die spitalindividuellen Kosten). Um diesen zu ermitteln, sind die benchmarking-relevanten Betriebskosten der einzelnen Spitäler des Basisjahres (Grundsatz: Tarifjahr X minus 2 [BVGE 2014/3 E. 3.5]) durch den Case Mix des betreffenden Spitals zu teilen; daraus resultieren die schweregradbereinigten Fallkosten (oder der benchmarking-relevante Basiswert). Mit den schweregradbereinigten Fallkosten der einzelnen Spitäler ist das Benchmarking durchzuführen. Zum so ermittelten Benchmark sind die allgemeinen Zuschläge hinzuzurechnen; dazu gehören insbesondere die Anlagenutzungskosten und die Teuerung bis zum Tarifjahr (d.h. bis Ende des Jahres X-1). Bei der Festlegung des spitalindividuellen Basisfallwertes ist von diesem Referenzwert auszugehen, wobei unter Umständen spitalindividuelle Zuschläge vorzunehmen sind (vgl. BVGE 2014/36 E. 4.10). Die Vergütung im Einzelfall (Fallpauschale) ergibt sich aus der Multiplikation des Basisfallwertes mit dem relativen Kostengewicht (zum Ganzen: Urteil des BVGer C-3497/2013 vom 26. Januar 2015 E. 3.1.3 m.w.H.).</w:t>
      </w:r>
    </w:p>
    <w:p>
      <w:r>
        <w:rPr>
          <w:b/>
        </w:rPr>
        <w:t>E. 4.5</w:t>
      </w:r>
    </w:p>
    <w:p>
      <w:r>
        <w:t>Der Argumentation der Vorinstanz, wonach mangels hinreichender Daten auf ein Benchmarking ganz zu verzichten sei (vgl. Sachverhalt B.a), kann demnach nicht gefolgt werden (vgl. auch Urteile BVGer C-4190/2013 vom 23. November 2014 E. 3.3, C-4196/2013 vom 19. Januar 2013 E. 3.3.2, C-4460/2013 E. 3.3).</w:t>
      </w:r>
    </w:p>
    <w:p>
      <w:r>
        <w:rPr>
          <w:b/>
        </w:rPr>
        <w:t>E. 4.6</w:t>
      </w:r>
    </w:p>
    <w:p>
      <w:r>
        <w:t>Der angefochtene Beschluss widerspricht den Grundsätzen des KVG und ist daher aufzuheben. Insoweit erweist sich die Beschwerde als begründet.</w:t>
      </w:r>
    </w:p>
    <w:p>
      <w:r>
        <w:rPr>
          <w:b/>
        </w:rPr>
        <w:t>E. 4.6.1</w:t>
      </w:r>
    </w:p>
    <w:p>
      <w:r>
        <w:t>Abzuweisen ist hingegen der Antrag der Beschwerdeführerinnen, es sei ein Basisfallwert von CHF 8'974.- gemäss Empfehlung der Preisüberwachung festzusetzen. Diese Empfehlung entspricht dem von der Preisüberwachung mittels Benchmarking ermittelten Referenzwert für Nicht-Universitätsspitäler (vgl. V-act. 144). Ihr Benchmarking beruht auf einer Auswahl von fünf Spitälern aus der ganzen Schweiz, deren spitalindividuell kalkulierte Fallkosten (Schweregrad 1.0) von der Preisüberwachung als wirtschaftlich beurteilt wurden. Wie das Bundesverwaltungsgericht in BVGE 2014/36 festgestellt hat, fehlt bei dieser Prüfmethode ein Vergleich zur Grundgesamtheit, und es ist nicht erkennbar, ob die von der Preisüberwachung erhobene Stichprobe die Gesamtheit der wirtschaftlich arbeitenden Spitäler ausreichend repräsentiert. Weiter ist nicht erkennbar, welcher Massstab der Effizienz bezogen auf die Grundgesamtheit angewendet wurde. Bezüglich der Repräsentativität und Transparenz weist die von der Preisüberwachung gewählte Methode erhebliche Mängel auf. Gleiches gilt auch für die von ihr gewählte Methode der Kostenermittlung (BVGE 2014/36 E. 9.2 m.H., zum Ganzen: C-3425/2013 E. 4.4.2).</w:t>
      </w:r>
    </w:p>
    <w:p>
      <w:r>
        <w:rPr>
          <w:b/>
        </w:rPr>
        <w:t>E. 4.6.2</w:t>
      </w:r>
    </w:p>
    <w:p>
      <w:r>
        <w:t>Ergänzend bringen die Beschwerdeführerinnen vor, der Basisfallwert könnte alternativ auch gestützt auf den Zürcher Fallkostenvergleich festgesetzt werden (wobei der Benchmark jedoch beim 25. Perzentil zu setzen sei). Zwar weist das Benchmarking des Kantons Zürich - trotz einiger Mängel - insgesamt eine gute Qualität auf (BVGE 2014/36 E. 6 ff. und E. 17). Beim Zürcher Fallkostenvergleich handelt es sich jedoch nicht um einen schweizweiten Betriebsvergleich, wie Art. 49 Abs. 8 KVG vorschreibt (vgl. BVGE 2014/36 E. 4.3 und E. 9.5 f.). Im Tariffestsetzungsverfahren hat in erster Linie die zuständige Kantonsregierung zu entscheiden, mit welchen sachgerechten Korrekturmassnahmen sie in der Einführungsphase die bestehenden Mängel "überbrücken" will (vgl. oben E. 3.4). Sodann sind vorliegend weitere Ermessensfragen (bspw. zum Effizienzmassstab) zu entscheiden, wofür ebenfalls primär die Kantonsregierung und nicht das Gericht zuständig ist (C-3497/2013 E. 3.8.4 m.w.H.). Die Voraussetzungen für ein reformatorisches Urteil sind daher nicht gegeben, zumal das Bundesverwaltungsgericht als einzige Gerichtsinstanz urteilt (vgl. nachfolgend E. 6) und die Parteien daher gegen den Festsetzungsbeschluss kein Rechtsmittel ergreifen könnten, was mit Blick auf die Art. 29a BV verankerte Rechtsweggarantie problematisch erschiene.</w:t>
      </w:r>
    </w:p>
    <w:p>
      <w:r>
        <w:rPr>
          <w:b/>
        </w:rPr>
        <w:t>E. 4.6.3</w:t>
      </w:r>
    </w:p>
    <w:p>
      <w:r>
        <w:t>Demnach ist die Beschwerde im Eventualantrag gutzuheissen. Die Sache ist an die Vorinstanz zurückzuweisen, damit sie im Sinne der Erwägungen den Basisfallwert mit Wirkung ab 1. Januar 2012 neu fest­setze.</w:t>
      </w:r>
    </w:p>
    <w:p>
      <w:r>
        <w:rPr>
          <w:b/>
        </w:rPr>
        <w:t>E. 4.7</w:t>
      </w:r>
    </w:p>
    <w:p>
      <w:r>
        <w:t>Bei diesem Ergebnis muss vorliegend auf die umstrittene Kostenermittlung grundsätzlich nicht eingegangen werden; es kann auf die Erwägungen zur Ermittlung der benchmarking-relevanten Betriebskosten in den beiden Grundsatzurteilen verwiesen werden (BVGE 2014/3 E. 3 - 9, BVGE 2014/36 E. 6.2 und 13 ff.). Es ist jedoch darauf hinzuweisen, dass für das Benchmarking möglichst genaue (realitätsgerechte) Kostendaten erforderlich sind (BVGE 2014/3 E. 6.4.4 und E. 9.2.1, BVGE 2014/36 E. 4.5 und E. 6.4). Was die Frage betrifft, ob Vorhalteleistungen für den Notfall als gemeinwirtschaftliche Leistungen zu qualifizieren seien, ist auf BVGE 2014/36 E. 21 zu verweisen. Demnach sind die Kosten der stationären Notfallbehandlungen sowie Mehrkosten, welche sich daraus ergeben, dass ein Spital seine Organisation auch auf die stationäre Behandlung medizinischer Notfälle ausrichten muss, grundsätzlich nicht als gemeinwirtschaftliche Leistungen auszuscheiden. Dies gilt jedenfalls soweit es sich nicht um darüber hinausgehende Mehrkosten handelt, welche zum Beispiel als Folge der Aufrechterhaltung einer an sich zu kleinen oder schlecht ausgelasteten Notfallstation entstehen (BVGE 2014/36 E. 21.3.4). In jedem Fall auszuscheiden sind die Kosten für die ambulante Behandlung medizinischer Notfälle (vgl. BVGE 2014/36 E. 4.9.1). Zu den Ausführungen der Vorinstanz in ihrer Vernehmlassung, das Bundesrecht bestimme nur die in Art. 49 Abs. 3 Bst. a und b KVG aufgeführten Leistungen als gemeinwirtschaftlich, und im Übrigen habe der Bundesgesetzgeber die Definition der gemeinwirtschaftlichen Leistungen weitestgehend den Kantonen überlassen (act. 7 S. 5), ist Folgendes zu bemerken: Das KVG beziehungsweise das Bundesrecht schreibt den Kantonen grundsätzlich nicht vor, welche nicht-OKP-pflichtigen Leistungen im öffentlichen Interesse erbracht und durch die öffentliche Hand finanziert werden sollen (vgl. Art. 3 und Art. 117 ff. BV); wichtig ist jedoch, dass Transparenz und Vergleichbarkeit der Fallkosten gewährleistet sind (vgl. BVGE 2014/36 E. 4.6 und 5.2, 2014/3 E. 7.3.3 und 7.4.2 f.). Nicht in die Kompetenz der Kantone fällt es hingegen, gemeinwirtschaftlichen Leistungen negativ zu definieren und damit gewisse Leistungen als OKP-pflichtig zu bezeichnen. Nach dem Grundsatz der derogatorischen Kraft des Bundesrechts (Art. 49 Abs. 1 BV) können gemäss bundesgerichtlicher Rechtsprechung die Kantone in Sachgebieten, welche die Bundesgesetzgebung abschliessend geregelt hat, keine Rechtsetzung mehr betreiben. In Sachgebieten, in denen - wie im Bereich der Krankenversicherung (vgl. Thomas Poledna, in: Die schweizerische Bundesverfassung, St. Galler Kommentar, 3. Aufl. 2014, Rz. 6 ff. zu Art. 117) - eine nachträglich derogatorische Bundeskompetenz besteht, bleiben die Kantone zur Gesetzgebung zuständig, soweit der Bund von seiner Gesetzgebungskompetenz nicht abschliessend Gebrauch gemacht hat. Auch insoweit dürfen sie aber nur solche Vorschriften erlassen, die nicht inhaltlich bundesrechtswidrig sind, das heisst nicht gegen den Sinn und Geist des Bundesrechts verstossen und dessen Zweck nicht beeinträchtigen oder vereiteln (BGE 138 I 454 E. 3.1 m.w.H.).</w:t>
      </w:r>
    </w:p>
    <w:p>
      <w:r>
        <w:rPr>
          <w:b/>
        </w:rPr>
        <w:t>E. 5</w:t>
      </w:r>
    </w:p>
    <w:p>
      <w:r>
        <w:t>Zu befinden ist abschliessend über die Verfahrenskosten und allfällige Parteientschädigungen.</w:t>
      </w:r>
    </w:p>
    <w:p>
      <w:r>
        <w:rPr>
          <w:b/>
        </w:rPr>
        <w:t>E. 5.1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 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 et al., Prozessieren vor dem Bundesverwaltungsgericht, 2. Aufl. 2013, Rz. 4.43).</w:t>
      </w:r>
    </w:p>
    <w:p>
      <w:r>
        <w:rPr>
          <w:b/>
        </w:rPr>
        <w:t>E. 5.1.1</w:t>
      </w:r>
    </w:p>
    <w:p>
      <w:r>
        <w:t>Die Beschwerdeführerinnen obsiegen insoweit, als sie die Aufhebung des angefochtenen Beschlusses und Rückweisung an die Vorinstanz beantragen; sie unterliegen mit ihrem Antrag, es sei ein Basisfallwert von CHF 8'974.- festzusetzen. Die Beschwerdegegnerin unterliegt, soweit sie die vollumfängliche Abweisung der Beschwerde beantragt. Die Rückweisung an die Vorinstanz ist vorliegend als je hälftiges Obsiegen beziehungsweise Unterliegen zu betrachten.</w:t>
      </w:r>
    </w:p>
    <w:p>
      <w:r>
        <w:rPr>
          <w:b/>
        </w:rPr>
        <w:t>E. 5.1.2</w:t>
      </w:r>
    </w:p>
    <w:p>
      <w:r>
        <w:t>Die Verfahrenskosten werden vorliegend auf CHF 6'000.- festgelegt. Der von den Beschwerdeführerinnen zu leistende Anteil von CHF 3'000.- wird dem Kostenvorschuss (CHF 8'000.-) entnommen. Der darüber hinausgehende Betrag von CHF 5'000.- wird ihnen zurückerstattet. Der Beschwerdegegnerin werden Verfahrenskosten von CHF 3'000.- auferlegt.</w:t>
      </w:r>
    </w:p>
    <w:p>
      <w:r>
        <w:rPr>
          <w:b/>
        </w:rPr>
        <w:t>E. 5.2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5.2.1</w:t>
      </w:r>
    </w:p>
    <w:p>
      <w:r>
        <w:t>Der nicht anwaltlich vertretenen Beschwerdegegnerin sind keine verhältnismässig hohe Kosten im Sinne von Art. 64 Abs. 1 VwVG entstanden, weshalb ihr keine Parteientschädigung zuzusprechen ist.</w:t>
      </w:r>
    </w:p>
    <w:p>
      <w:r>
        <w:rPr>
          <w:b/>
        </w:rPr>
        <w:t>E. 5.2.2</w:t>
      </w:r>
    </w:p>
    <w:p>
      <w:r>
        <w:t>Anspruch auf eine - reduzierte - Parteientschädigung haben hingegen die Beschwerdeführerinnen. Mangels Kostennote ist die Entschädigung aufgrund der Akten festzusetzen (vgl. Art. 14 Abs. 2 VGKE). Unter Berücksichtigung des gebotenen und aktenkundigen Aufwandes sowie des hälftigen Obsiegens erscheint eine Entschädigung von CHF 3'500.- (einschliesslich Auslagenersatz und Mehrwertsteuer) angemessen. Die Entschädigung ist von der Beschwerdegegnerin zu leisten.</w:t>
      </w:r>
    </w:p>
    <w:p>
      <w:r>
        <w:rPr>
          <w:b/>
        </w:rPr>
        <w:t>E. 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