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C-4260/2007 vom 5. Oktober 2009</w:t>
      </w:r>
    </w:p>
    <w:p>
      <w:r>
        <w:t>Bundesverwaltungsgericht, 2009-10-05, DE</w:t>
      </w:r>
    </w:p>
    <w:p>
      <w:r>
        <w:rPr>
          <w:b/>
        </w:rPr>
        <w:t xml:space="preserve">Quelle: </w:t>
      </w:r>
      <w:r>
        <w:t>https://mcp.opencaselaw.ch/entscheid/bvger_C-4260_2007</w:t>
      </w:r>
    </w:p>
    <w:p>
      <w:r>
        <w:t>FR: TAF C-4260/2007 du 5 octobre 2009</w:t>
      </w:r>
    </w:p>
    <w:p>
      <w:r>
        <w:t>IT: TAF C-4260/2007 del 5 ottobre 2009</w:t>
      </w:r>
    </w:p>
    <w:p>
      <w:pPr>
        <w:pStyle w:val="Heading2"/>
      </w:pPr>
      <w:r>
        <w:t>Regeste</w:t>
      </w:r>
    </w:p>
    <w:p>
      <w:r>
        <w:t>Zulassung Pflanzenschutzmittel</w:t>
      </w:r>
    </w:p>
    <w:p>
      <w:pPr>
        <w:pStyle w:val="Heading2"/>
      </w:pPr>
      <w:r>
        <w:t>Erwägungen</w:t>
      </w:r>
    </w:p>
    <w:p>
      <w:r>
        <w:rPr>
          <w:b/>
        </w:rPr>
        <w:t>E. 1</w:t>
      </w:r>
    </w:p>
    <w:p>
      <w:r>
        <w:t>Angefochten ist die Verfügung des BLW vom 18. Mai 2007, mit welcher das Gesuch der Beschwerdeführerin um Erteilung einer Bewilligung für das Inverkehrbringen des Pflanzenschutzmittels O._______ in Mais abgewiesen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Landwirtschaftsgesetzes bzw. von dessen Ausführungsbestimmungen, zumal das BLW eine Dienststelle der Bundesverwaltung ist (Art. 33 Bst. d VGG i.V.m. Art. 166 Abs. 2 des Bundesgesetzes über die Landwirtschaft [LwG, SR 910.1]). Eine Ausnahme, was das Sachgebiet angeht, ist in casu nicht gegeben (Art. 32 VGG).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Nach Bezahlung des Kostenvorschusses ist auf die frist- und formgerecht eingereichte Beschwerde daher einzutreten.</w:t>
      </w:r>
    </w:p>
    <w:p>
      <w:r>
        <w:rPr>
          <w:b/>
        </w:rPr>
        <w:t>E. 2</w:t>
      </w:r>
    </w:p>
    <w:p>
      <w:r>
        <w:t>Im Beschwerdeverfahren prüft das Bundesverwaltungsgericht die Verletzung von Bundesrecht einschliesslich der Überschreitung oder des Missbrauchs des Ermessens, die unrichtige oder unvollständige Feststellung des rechtserheblichen Sachverhalts und - wenn nicht eine kantonale Behörde als Beschwerdeinstanz verfügt hat - die Unangemessenheit (Art. 49 VwVG).</w:t>
      </w:r>
    </w:p>
    <w:p>
      <w:r>
        <w:rPr>
          <w:b/>
        </w:rPr>
        <w:t>E. 2.1</w:t>
      </w:r>
    </w:p>
    <w:p>
      <w:r>
        <w:t>Das Bundesverwaltungsgericht überprüft allerdings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rügt eine Verletzung von Art. 2 und Art. 3 Abs. 1 der Verordnung über die Ordnungsfristen. Zudem macht sie geltend, aufgrund der Auskünfte der Vorinstanz bereits im Dezember 2006 mit den Vorbereitungen für die Markteinführung ihres Pflanzenschutzmittels begonnen zu haben.</w:t>
      </w:r>
    </w:p>
    <w:p>
      <w:r>
        <w:rPr>
          <w:b/>
        </w:rPr>
        <w:t>E. 3.1</w:t>
      </w:r>
    </w:p>
    <w:p>
      <w:r>
        <w:t>Gemäss Art. 15 Abs. 1 PSMV richten sich die Fristen zur Bearbeitung der Gesuche nach der Verordnung über die Ordnungsfristen. Art. 2 dieser Verordnung sieht vor, dass der Eingang eines Gesuches innert Tagen zu bestätigen ist; Art. 3 bestimmt unter dem Titel "Ordnungsfristen", dass die Behörden ihren Entscheid in der Regel wie folgt treffen: a) über Gesuche, die in der Mehrzahl der Fälle eine Bearbeitungszeit von höchstens einigen Stunden erfordern: innert Tagen; b) über Gesuche, die in der Mehrzahl der Fälle eine Bearbeitungszeit von höchstens einigen Tagen erfordern: innert Wochen; c) über Gesuche, die voraussichtlich eine Bearbeitungszeit von mehr als einer Woche erfordern: innert eines Zeitraums, welcher der gesuchstellenden Person möglichst umgehend, spätestens jedoch nach drei Monaten, mitzuteilen ist.</w:t>
      </w:r>
    </w:p>
    <w:p>
      <w:r>
        <w:rPr>
          <w:b/>
        </w:rPr>
        <w:t>E. 3.2</w:t>
      </w:r>
    </w:p>
    <w:p>
      <w:r>
        <w:t>Die Nichteinhaltung der in Art. 2 und 3 Abs. 1 der Verordnung über die Ordnungsfristen festgelegten Fristen und Verfahrensvorschriften kann zu einer Rechtsverweigerung oder Rechtverzögerung führen, welche im Rahmen einer entsprechenden Beschwerde gemäss Art. 46a i.V.m. Art. 50 Abs. 2 VwVG jederzeit während des vorinstanzlichen Verfahrens bei der Beschwerdeinstanz gerügt werden kann. Vorliegend hat die Beschwerdeführerin gemäss den Akten keine derartigen Schritte unternommen. Da das vorinstanzliche Verfahren mit dem Erlass der angefochtenen Verfügung vom 18. Mai 2007 abgeschlossen wurde, ist die diesbezügliche Rüge der Beschwerdeführerin vorliegend nicht weiter zu prüfen. Allfällige Ersatzansprüche wegen der langen Verfahrensdauer können im Beschwerdeverfahren nicht geltend gemacht werden.</w:t>
      </w:r>
    </w:p>
    <w:p>
      <w:r>
        <w:rPr>
          <w:b/>
        </w:rPr>
        <w:t>E. 3.3</w:t>
      </w:r>
    </w:p>
    <w:p>
      <w:r>
        <w:t>Die sinngemässe Rüge der Verletzung des Schutzes berechtigten Vertrauens in behördliche Auskünfte entbehrt jeder Grundlage. Die Vorinstanz hat zu keinem Zeitpunkt die Zulassung des Pflanzenschutzmittels in Aussicht gestellt. Sie hatte lediglich mitgeteilt, wann eine Verfügung zu erwarten sei, ohne jedoch den Ausgang des Verfahrens vorweg zunehmen. Wenn die Beschwerdeführerin dennoch bereits die Markteinführung des Produktes plante und diesbezügliche Aufwendungen hatte, konnte sie sich dabei auf keine Vertrauensgrundlage stützen.</w:t>
      </w:r>
    </w:p>
    <w:p>
      <w:r>
        <w:rPr>
          <w:b/>
        </w:rPr>
        <w:t>E. 4</w:t>
      </w:r>
    </w:p>
    <w:p>
      <w:r>
        <w:t>Strittig ist im vorliegenden Verfahren, ob das BLW zu Recht das Gesuch der Beschwerdeführerin um Zulassung des Pflanzenschutzmittels O._______ (P ____) mit der Wirkstoffkombination H._______ und C._______ abgewiesen hat.</w:t>
      </w:r>
    </w:p>
    <w:p>
      <w:r>
        <w:rPr>
          <w:b/>
        </w:rPr>
        <w:t>E. 4.1</w:t>
      </w:r>
    </w:p>
    <w:p>
      <w:r>
        <w:t>Vorschriften über den Umgang mit Pflanzenschutzmitteln finden sich sowohl in der Chemikalien- als auch in der Landwirtschaftsgesetzgebung.</w:t>
      </w:r>
    </w:p>
    <w:p>
      <w:r>
        <w:rPr>
          <w:b/>
        </w:rPr>
        <w:t>E. 4.2</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ChemG zu berücksichtigen hat (Art. 11 Abs. 2 ChemG). Gestützt auf das Landwirtschaftsgesetz erlässt der Bundesrat Vorschriften über die Einfuhr und das Inverkehrbringen von landwirtschaftlichen Hilfsstoffen (Art. 160 Abs. 1 LwG).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4.3</w:t>
      </w:r>
    </w:p>
    <w:p>
      <w:r>
        <w:t>Seinen Rechtsetzungsauftrag hat der Bundesrat mit Erlass der PSMV erfüllt und detaillierte Vorschriften über die Zulassung und das Inverkehrbringen von Pflanzenschutzmitteln erlassen. 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einer bestimmten Herstellerin in einer bestimmten Zusammensetzung, mit einem bestimmten Handelsnamen und für bestimmte Verwendungszwecke erteilt (Art. 4 Abs. 2 Bst. a bis d PSMV). Für Pflanzenschutzmittel gibt es drei Arten der Zulassung: Zulassung aufgrund eines Bewilligungsverfahrens (Art. 5 Abs. 1 Bst. a PSMV),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insbesondere in Art. 11 bis Art. 29 PSMV einlässlich geregelt.</w:t>
      </w:r>
    </w:p>
    <w:p>
      <w:r>
        <w:rPr>
          <w:b/>
        </w:rPr>
        <w:t>E. 4.4</w:t>
      </w:r>
    </w:p>
    <w:p>
      <w:r>
        <w:t>Die Zulassung stellt eine Polizeibewilligung dar, auf deren Erteilung eine Gesuchstellerin dann Anspruch hat, wenn sie die gesetzlichen Voraussetzungen erfüllt (VPB 69.21 E. 3.1). Die Entscheidung darüber, ob die Zulassung erteilt wird oder nicht, liegt daher nicht im freien Ermessen der Bewilligungsbehörde. Die Voraussetzungen für die Erteilung einer Polizeibewilligung werden aber oft durch unbestimmte Rechtsbegriffe umschrieben, so dass die Behörde über einen gewissen Beurteilungsspielraum verfügt (vgl. ULRICH HÄFELIN/GEORG MÜLLER/FELIX UHLMANN, Allgemeines Verwaltungsrecht, 5. Aufl., Zürich 2006, Rz. 2534). Zudem kann das Gesetz vorsehen, dass Ausnahmen von der Einhaltung der Bewilligungsvoraussetzungen gemacht werden können. Bei der Gewährung derartiger Ausnahmen steht der Behörde regelmässig ein relativ weites Ermessen zu.</w:t>
      </w:r>
    </w:p>
    <w:p>
      <w:r>
        <w:rPr>
          <w:b/>
        </w:rPr>
        <w:t>E. 4.5</w:t>
      </w:r>
    </w:p>
    <w:p>
      <w:r>
        <w:t>Als Bewilligungsbehörde hat das BLW bei der erstmaligen Zulassung zu prüfen, ob die Zulassungsvoraussetzungen, die im ChemG, im LwG und in der PSMV (insbesondere Art. 10 PSMV und im Anhang 6 PSMV) teilweise relativ unbestimmt umschrieben sind, durch die Gesuchstellerin erfüllt werden. Dabei hat es den ihm zustehenden Beurteilungsspielraum in rechtmässiger, insbesondere verhältnismässiger und rechtsgleicher Weise zu nutzen. Es muss die Zulassung erteilen, wenn die Gesuchstellerin mit ihrer Dokumentation nachweisen kann, dass die gesetzlichen Anforderungen erfüllt sind - und es darf die Zulassung nicht erteilen, wenn dieser Nachweis nicht erbracht wird. Zudem hat es die Gewährung allfälliger Ausnahmen (etwa gemäss Art. 10 Abs. 3 PSMV) zu prüfen und muss dabei sein Ermessen pflichtgemäss ausüben.</w:t>
      </w:r>
    </w:p>
    <w:p>
      <w:r>
        <w:rPr>
          <w:b/>
        </w:rPr>
        <w:t>E. 5</w:t>
      </w:r>
    </w:p>
    <w:p>
      <w:r>
        <w:t>Zu prüfen ist - wie in jedem ordentlichen Zulassungsverfahren - ob die grundsätzlichen Voraussetzungen für die Zulassung eines Pflanzenschutzmittel gemäss Art. 10 PSMV erfüllt sind. Die Parteien beschränkten sie in ihren Argumentationen hauptsächlich auf die Frage, ob das zu beurteilende Produkt den Kriterien von Art. 10 Abs. 1 Bst. e PSMV entspricht.</w:t>
      </w:r>
    </w:p>
    <w:p>
      <w:r>
        <w:rPr>
          <w:b/>
        </w:rPr>
        <w:t>E. 5.1</w:t>
      </w:r>
    </w:p>
    <w:p>
      <w:r>
        <w:t>Art. 10 Abs. 1 Bst. e PSMV bestimmt, dass ein Pflanzenschutzmittel nicht bewilligt wird, wenn es eine Mischung von Wirkstoffen für die Bekämpfung unterschiedlicher Gruppen von Schadorganismen wie Insekten, Pilze oder Unkraut enthält. Nach dem klaren Wortlaut der Bestimmung handelt es sich bei den genannten Schadorganismen um eine beispielhafte Aufzählung und nicht eine abschliessende Nennung der möglichen Schädlinge. Zu Recht geht die Vorinstanz zudem davon aus, dass der Begriff der "Bekämpfung" in einem sehr weiten Sinne zu verstehen ist. Gemeint ist jede Art der Schadensabwendung von den zu schützenden Pflanzen. So kann damit beispielsweise gemeint sein: töten, unschädlich machen, verscheuchen, fernhalten, immunisieren und mehr.</w:t>
      </w:r>
    </w:p>
    <w:p>
      <w:r>
        <w:rPr>
          <w:b/>
        </w:rPr>
        <w:t>E. 5.2</w:t>
      </w:r>
    </w:p>
    <w:p>
      <w:r>
        <w:t>Die Beschwerdeführerin macht geltend, sie wolle die beiden Wirkstoffe C._______ und H._______ in einem Präparat vereinen, um damit einem Bedürfnis der Anwender nachzukommen. Entgegen der Ansicht der Vorinstanz solle nur eine einzige Schaderregergruppe, die der Insekten, bekämpft werden. Die eingereichten Unterlagen belegten, dass es sich beim Produkt S._______ um ein Insektizid bzw. bei C._______ um einen insektiziden Wirkstoff handle. Auch der in N._______ enthaltene Wirkstoff H._______ bekämpfe Insekten. In ihrer Replik vom 30. Oktober 2007 führt sie aus, bei Vögeln handle es sich zwar um eine eigenständige Gruppe von Schadorganismen im Sinne von Art. 10 Abs. 1 Bst. e PSMV. Mit der Beifügung des Wirkstoffs C._______ würden Vögel jedoch nicht bekämpft; vielmehr diene dieser dazu, die Vögel vor dem behandelten Saatgut zu schützen, da das zu beurteilende Produkt giftig sei. Das behandelte Saatgut müsse denn auch zum Schutz von Vögeln und wildlebenden Säugetieren vollständig in den Boden eingearbeitet werden. Der Wirkstoff C._______ habe (neben der insektiziden) eine vogelabschreckende Wirkung und sei ein sogenanntes Repellent. Mit der gewählten Wirkstoffkombination würden aber ausschliesslich Insekten bekämpft, weshalb Art. 10 Abs. 1 Bst. e PSMV nicht anwendbar sei. Die Vorinstanz stellt sich dagegen auf den Standpunkt, beim zu beurteilenden Produkt handle es sich um ein Präparat mit einer Mischung von Wirkstoffen für die Bekämpfung unterschiedlicher Gruppen von Schadorganismen, weshalb Art. 10 Abs. 1 Bst. e PSMV zur Anwendung komme.</w:t>
      </w:r>
    </w:p>
    <w:p>
      <w:r>
        <w:rPr>
          <w:b/>
        </w:rPr>
        <w:t>E. 5.3</w:t>
      </w:r>
    </w:p>
    <w:p>
      <w:r>
        <w:t>Das zu beurteilende Pflanzenschutzmittel O._______ enthält die Wirkstoffe H._______ und C._______ (_______), welche bereits als Monowirkstoffe in andern Pflanzenschutzmitteln zugelassen sind. Die Beschwerdeführerin verfügt über die Bewilligung für das Produkt N._______ (Zulassungsnr. ____) mit dem Wirkstoff H._______, welches als Insektizid, Saatbeizmittel für den Einsatz in Mais gegen Drahtwürmer und Fritfliege mit der Aufwandmenge 25g ai/50'000 Maiskörner (Aufwandmenge entspricht 41,8 ml N._______ pro Saatguteinheit), zugelassen ist. Weiter ist sie Inhaberin der Bewilligung für das Produkt S._______ (Zulassungsnr. ____) mit dem Wirkstoff C._______ (_______), welches als Vogelrepellent (Krähen), Saatbeizmittel für den Einsatz in Mais mit der Aufwandmenge 1 l/100 kg Saatgut zugelassen ist.</w:t>
      </w:r>
    </w:p>
    <w:p>
      <w:r>
        <w:rPr>
          <w:b/>
        </w:rPr>
        <w:t>E. 5.4</w:t>
      </w:r>
    </w:p>
    <w:p>
      <w:r>
        <w:t>Auszugehen ist zunächst vom Inhalt des Zulassungsgesuchs der Beschwerdeführerin vom 6. Januar 2005. Unter dem Titel Sachbezeichnung stufte sie das Produkt als "Insektizid, Beizmittel" ein, unter der Kategorie Schaderreger führte sie auf: Gegen Fritfliege, Drahtwürmer, Blattläuse, Westlicher Maiswurzelbohrer und als Vogelrepellent (u.a. Fasane, Krähen). Während des Gesuchsverfahrens hielt die Beschwerdeführerin in ihrem Schreiben vom 4. Oktober 2005 fest, sie reiche weitere Versuchsergebnisse für ihre Maisbeizmittel, u.a. gegen Vogelfrass, aus dem Jahre 2005 ein. Aus dem Gesuch und den Äusserungen im vorinstanzlichen Verfahren ergibt sich eindeutig, dass die Beschwerdeführerin beabsichtigt, das zu beurteilende Produkt auch als Vogelrepellent in Verkehr zu bringen. Wie bereits festgehalten, verfügt die Beschwerdeführerin über eine Bewilligung für das Produkt S._______ mit dem Wirkstoff C._______, welches in Mais als Insektizid und als Vogelrepellent zugelassen ist. Der Wirkstoff C._______ verfügt demnach anerkanntermassen sowohl über eine insektizide Wirkung als auch über eine Wirkung als Vogelrepellent. Demgegenüber ist der Wirkstoff H._______ bisher einzig als insektizider Wirkstoff in verschiedenen Präparaten zugelassen (vgl. das schweizerische Pflanzenschutzmittelverzeichnis). Aus objektiver Sicht sind daher die beiden Wirkstoffe in Kombination sowohl gegen verschiedene Insekten, als auch als Repellent gegen Vögel einsetzbar.</w:t>
      </w:r>
    </w:p>
    <w:p>
      <w:r>
        <w:rPr>
          <w:b/>
        </w:rPr>
        <w:t>E. 5.5</w:t>
      </w:r>
    </w:p>
    <w:p>
      <w:r>
        <w:t>Die Beschwerdeführerin macht nun im Beschwerdeverfahren geltend, die vogelabschreckende, repellente Wirkung des Wirkstoffes C._______ diene vorliegend nicht der Bekämpfung einer eigenständigen Gruppe von Schadorganismen im Sinne von Art. 10 Abs. 1 Bst. e PSMV, sondern habe lediglich zum Ziel, Vögel zu schützen.</w:t>
      </w:r>
    </w:p>
    <w:p>
      <w:r>
        <w:rPr>
          <w:b/>
        </w:rPr>
        <w:t>E. 5.5.1</w:t>
      </w:r>
    </w:p>
    <w:p>
      <w:r>
        <w:t>In der Verordnung vom 18. Mai 2005 über das Inverkehrbringen von und den Umgang mit Biozidprodukten (Biozidprodukteverordnung, VBP, 813.12) werden in Anhang 10, Produktart 19, Produkte zur Fernhaltung von Schadorganismen (wirbellose Tiere wie z.B. Flöhe, Wirbeltiere wie z.B. Vögel) als Repellentien definiert. Dies entspricht dem allgemeinen Wortverständnis, wonach als Repellent ein Produkt, bzw. Wirkstoff bezeichnet wird, der von einem Organismus wahrgenommen wird und der diesen abschreckt, ohne ihn zu töten (http://de.wikipedia.org/wiki/Repellent). Im Pflanzenschutzmittelbereich werden Repellentien in der Regel mit dem Ziel eingesetzt zu verhindern, dass die Kulturpflanzen durch Tiere geschädigt und dadurch die Ernte verkleinert wird. Beispielsweise sollen Hasen, Rehe oder auch Vögel davon abgehalten werden, gewisse Pflanzen, deren Früchte oder eben auch das Saatgut zu fressen.</w:t>
      </w:r>
    </w:p>
    <w:p>
      <w:r>
        <w:rPr>
          <w:b/>
        </w:rPr>
        <w:t>E. 5.5.2</w:t>
      </w:r>
    </w:p>
    <w:p>
      <w:r>
        <w:t>Ein wirkungsvoller Repellent, der Fressschäden verhindert, kann zweifelsohne auch einen weiteren Wirkungseffekt haben: es kann Tiere schützen, indem diese vom Fressen potenziell giftiger Substanzen - zum Beispiel den Rückständen von Pflanzenschutzmitteln in und auf den Pflanzenteilen - abgehalten werden. Ein Produkt, welches aber in erster Linie dem Schutz der Tiere vor Gesundheitsschäden dient, ist kein Pflanzenschutzmittel sondern ein "Tierschutzmittel". Bei einem derartigen Hauptanwendungsgebiet eines Wirkstoffes bzw. Produktes wäre fraglich, ob es überhaupt gemäss den Bestimmungen der PSMV zugelassen werden könnte: Gemäss Art. 3 Abs. 2 Bst. a PSMV sind Pflanzenschutzmittel insbesonder Wirkstoffe und Zubereitungen, die dazu bestimmt sind Pflanzen und Pflanzenerzeugnisse vor Schadorganismen zu schützen oder deren Einwirkung vorzubeugen; in anderer Weise als ein Nährstoff die Lebensvorgänge von Pflanzen zu beeinflussen, Pflanzenerzeugnisse zu konservieren, unerwünschte Pflanzen oder Pflanzenteile zu vernichten, auf ein unerwünschtes Pflanzenwachstum Einfluss zu nehmen. Ob der Schutz von Tieren vor den negativen Auswirkungen von (giftigen) Pflanzenschutzmitteln allenfalls als positive Nebenwirkung eines Produktes bewilligungsfähig wäre, kann vorliegend offengelassen werden. Entscheidend ist vorliegend, dass der Wirkstoff C._______ sehr wohl dazu dient und dienen soll, das Saatgut vor dem Verzehr durch Vögel zu schützen. Der Schutz der Vögel vor dem giftigen Saatgut erscheint als blosse Nebenwirkung.</w:t>
      </w:r>
    </w:p>
    <w:p>
      <w:r>
        <w:rPr>
          <w:b/>
        </w:rPr>
        <w:t>E. 5.6</w:t>
      </w:r>
    </w:p>
    <w:p>
      <w:r>
        <w:t>Aufgrund der obigen Ausführungen ist, entgegen der Auffassung der Beschwerdeführerin, davon auszugehen, dass das zu beurteilende Produkt eine Mischung von Wirkstoffen für die Bekämpfung unterschiedlicher Gruppen von Schadorganismen (Insekten und Vögel) enthält, so dass es nach Art. 10 Abs. 1 Bst. e PSMV grundsätzlich nicht bewilligt werden kann.</w:t>
      </w:r>
    </w:p>
    <w:p>
      <w:r>
        <w:rPr>
          <w:b/>
        </w:rPr>
        <w:t>E. 6</w:t>
      </w:r>
    </w:p>
    <w:p>
      <w:r>
        <w:t>Zu beachten ist allerdings, dass gemäss Art. 10 Abs. 3 PSMV für Saatbeizmittel und Pflanzenschutzmittel für im Wald geschlagenes Holz von der Anforderung nach Art. 10 Abs. 1 Bst. e PSMV Ausnahmen gemacht werden können. Diese Regelung stellt es ins Ermessen der Bewilligungsbehörde, ob sie auch Produkte mit einer Mischung von Wirkstoffen für die Bekämpfung unterschiedlicher Gruppen von Schadorganismen zulassen will. Diese ermessensweise Prüfung hat im konkreten Einzelfall von Amtes wegen zu erfolgen, verlangt die Bestimmung doch kein entsprechendes Gesuch.</w:t>
      </w:r>
    </w:p>
    <w:p>
      <w:r>
        <w:rPr>
          <w:b/>
        </w:rPr>
        <w:t>E. 6.1</w:t>
      </w:r>
    </w:p>
    <w:p>
      <w:r>
        <w:t>Die Beschwerdeführerin macht geltend, die Vorinstanz habe nicht geprüft, ob im vorliegenden Verfahren eine Ausnahme gemäss Art. 10 Abs. 3 PSMV gewährt werden könnte. Zumindest werde in der angefochtenen Verfügung nicht begründet, weshalb eine Ausnahme verweigert worden sei. Richtigerweise hätte für das zu beurteilende Produkt eine Ausnahme gewährt werden können, werde es doch nur in etwa 5% der schweizerischen Maisanbaufläche benötigt. Damit macht sie im Wesentlichen eine Ermessensunterschreitung und eine Verletzung der Begründungspflicht geltend. Die Vorinstanz führte im Schriftenwechsel aus, sie habe die Anwendung von Art. 10 Abs. 3 PSMV sehr wohl geprüft - vorliegend könne aber keine Ausnahme gemacht werden. Insbesondere stellt sie sich auf den Standpunkt, die relativ seltene Anwendung des Produktes rechtfertige keine Ausnahme. Falls eine Verletzung des Anspruchs der Beschwerdeführerin auf rechtliches Gehör vorliege, sei diese im Beschwerdeverfahren geheilt worden, da das Bundesverwaltungsgericht sowohl den Sachverhalt als auch die Rechtslage frei überprüfe.</w:t>
      </w:r>
    </w:p>
    <w:p>
      <w:r>
        <w:rPr>
          <w:b/>
        </w:rPr>
        <w:t>E. 6.2</w:t>
      </w:r>
    </w:p>
    <w:p>
      <w:r>
        <w:t>Entgegen der Darstellung der Vorinstanz (Replik vom 29. November 2007) geht aus dem Dispositiv der Verfügung nicht hervor, ob im Bewilligungsverfahren die Möglichkeit der Gewährung einer Ausnahme geprüft worden ist: Es wird lediglich festgehalten, das Gesuch um Erteilung der Bewilligung für das Inverkehrbringen des Pflanzenschutzmittels werde abgelehnt. Auch in der Begründung der Verfügung wird einzig auf Art. 10 Abs. 1 und Art. 16 Abs. 1 PSMV, nicht aber auf Art. 10 Abs. 3 PSMV verwiesen. Zur Begründung der Gesuchsabweisung wird einzig festgehalten, dass Produkte mit einer Mischung von Wirkstoffen für die Bekämpfung unterschiedlicher Gruppen von Schadorganismen nicht zulassen werden können. Mit keinem Wort wird dagegen erwähnt, dass keine Ausnahme gewährt werden könne - geschweige denn dargelegt, aus welchen Gründen eine solche verweigert wurde. Aus der Verfügung geht demnach nicht hervor, ob der Ausnahmetatbestand, wie von der Vorinstanz geltend gemacht, geprüft worden ist. Aus den vorinstanzlichen Akten ist ersichtlich, dass das BLW das Bewilligungsgesuch aus Sicht der Pflanzenschutzchemie (Antrag der PCH [Agroscope Wädenswil] vom 21. November 2005; Akten der Vorinstanz Nr. 5), der Bienentoxizität ("Rapport d'évaluation de la toxicité pour les abeilles" von D._______ vom 12. Dezember 2005; Akten der Vorinstanz Nr. 6) sowie der Ökotoxizität ("Ecotoxicological Assessment" vom 4. Juli 2006 der Agroscope Wädenswil; Akten der Vorinstanz Nr. 8) hat prüfen lassen - offenbar mit dem Ziel, die Einhaltung der in Art. 10 Abs. 1 PSMV vorgegebenen Bewilligungsvoraussetzungen abzuklären. Dabei fällt auf, dass in keinem dieser Berichte auf das Verbot der Kombination von Wirkstoffen zur Bekämpfung unterschiedlicher Gruppen von Schadorganismen (Art. 10 Abs. 1 Bst. e PSMV) hingewiesen wird und (folgerichtig) auch keine Auseinandersetzung mit der Möglichkeit der Gewährung einer Ausnahme erfolgt. Während die Agroscope Wädenswil in ihrem Bericht vom 21. November 2005 das Gesuch mit einer Einschränkung als "bewilligungsreif" bezeichnete und aus bienentoxicologischer Sicht keine Einwände vorgebracht wurden, kommt das umfangreiche "Ecotoxicological Assessment" zum Schluss, aus ökotoxikologischer Sicht werde eine Zulassung nicht empfohlen. Als unabdingbare Auflagen werden "Spe 5" und "Spe 6" genannt (wonach das Pflanzenschutzmittel zum Schutz von Vögeln bzw. wildlebenden Säugetieren vollständig in den Boden eingearbeitet und verschüttetes Pflanzenschutzmittel beseitigt werden muss). In diesem Zusammenhang ist auch die handschriftliche Notiz vom 28. Dezember 2006 auf der letzten Seite des ökotoxikologischen Gutachtens zu sehen, die wie folgt beginnt: "Entgegen der Empfehlung der Oekotox wird nach Absprache mit P._______ die Bewilligung für das Produkt erteilt." Weiter wird ausgeführt, dass zu dieser Entscheidung (u.a.) folgende Gründe geführt hätten: Es bestehe ein Bedarf für das Produkt, die Abwägung von Nutzen und Risiko falle zu seinen Gunsten aus und gebeiztes Saatgut werde oft importiert. Es ist offensichtlich, dass diese interne Beurteilung auch das "Ecotoxicological Assessment" betrifft und eine Abweichung von dieser ökotoxikologischen Begutachtung begründet - und sich keineswegs auf eine Ausnahme vom Verbot der Kombinationsprodukte gemäss Art. 10 Abs. 1 Bst. e PSMV bezieht. Bis zu diesem Zeitpunkt war diese Vorschrift noch kein Thema der vorinstanzlichen Abklärungen. Auch aus den weiteren Unterlagen geht nicht hervor, weshalb die Vorinstanz in der angefochtenen Verfügung das Gesuch gestützt auf Art. 10 Abs. 1 Bst. e PSMV abgewiesen hat. Es finden sich keine Hinweise darauf, dass eine Prüfung der Ausnahmemöglichkeit gemäss Art. 10 Abs. 3 PSMV stattgefunden hätte oder im Rahmen einer derartigen Prüfung Berichte eingeholt worden wären. Das Bundesverwaltungsgericht erachtet es aufgrund des Wortlauts der angefochtenen Verfügung und angesichts der eingereichten Vorakten nicht als erwiesen, dass die Vorinstanz die Möglichkeit einer Ausnahme von Art. 10 Abs. 1 Bst. e PSMV tatsächlich geprüft hat. Es ist davon auszugehen, dass eine solche Prüfung nicht stattgefunden hat.</w:t>
      </w:r>
    </w:p>
    <w:p>
      <w:r>
        <w:rPr>
          <w:b/>
        </w:rPr>
        <w:t>E. 6.3</w:t>
      </w:r>
    </w:p>
    <w:p>
      <w:r>
        <w:t>Aus Art. 10 Abs. 3 PSMV geht nicht hervor, welche Vorraussetzungen zur Gewährung einer Ausnahme im Bereich von Saatbeizmittel und in der Forstwirtschaft erfüllt sein müssen. Die Vorinstanz hat daher einen sehr grossen Ermessensspielraum.</w:t>
      </w:r>
    </w:p>
    <w:p>
      <w:r>
        <w:rPr>
          <w:b/>
        </w:rPr>
        <w:t>E. 6.3.1</w:t>
      </w:r>
    </w:p>
    <w:p>
      <w:r>
        <w:t>Räumt ein Rechtssatz einer rechtsanwendenden Behörde ein Ermessen ein, so muss sie dieses pflichtgemäss, insbesondere verhältnismässig und rechtsgleich ausüben. Eine Ermessensunterschreitung und damit ein Rechtsfehler liegt vor, wenn die Behörde sich als gebunden betrachtet, obschon sie nach Gesetz berechtigt wäre, nach Ermessen zu handeln, oder wenn sie auf die Ermessensausübung ganz oder teilweise zum vorneherein verzichtet (vgl. BGE 98 V 131 E. 2 mit Hinweisen; vgl. auch BGE 116 V 307 E. 2; BGE 111 V 248 E. 2b; aus der Literatur etwa ULRICH HÄFELIN/GEORG MÜLLER/FELIX UHLMANN, a.a.O., Rz. 470 f.).</w:t>
      </w:r>
    </w:p>
    <w:p>
      <w:r>
        <w:rPr>
          <w:b/>
        </w:rPr>
        <w:t>E. 6.3.2</w:t>
      </w:r>
    </w:p>
    <w:p>
      <w:r>
        <w:t>Im vorinstanzlichen Verfahren hat das BLW nicht - oder zumindest nicht aktenkundig - geprüft, ob das zu beurteilende Produkt ausnahmsweise in Anwendung von Art. 10 Abs. 3 PSMV bewilligt werden könnte. Damit hat es das ihm zustehende Ermessen nicht ausgeübt und eine Ermessensunterschreitung begangen. Allein schon aus diesem Grunde erweist sich die angefochtene Verfügung als rechtsfehlerhaft.</w:t>
      </w:r>
    </w:p>
    <w:p>
      <w:r>
        <w:rPr>
          <w:b/>
        </w:rPr>
        <w:t>E. 6.4</w:t>
      </w:r>
    </w:p>
    <w:p>
      <w:r>
        <w:t>Schriftliche Verfügungen sind zu begründen (Art. 35 Abs. 1 VwVG). Dieser Grundsatz ist Ausfluss der verfassungsrechtlichen Verfahrensansprüche, insbesondere des Anspruchs auf rechtliches Gehör (Art. 29 Abs. 1 der Bundesverfassung der Schweizerischen Eidgenossenschaft vom 18. April 1999 [BV, SR 10]). Danach haben die Behörden die Vorbringen der vom Entscheid in ihrer Rechtsstellung Betroffenen auch tatsächlich zu hören, sorgfältig und ernsthaft zu prüfen und in der Entscheidfindung zu berücksichtigen und in die Begründung des Entscheides einfliessen zu lassen.</w:t>
      </w:r>
    </w:p>
    <w:p>
      <w:r>
        <w:rPr>
          <w:b/>
        </w:rPr>
        <w:t>E. 6.4.1</w:t>
      </w:r>
    </w:p>
    <w:p>
      <w:r>
        <w:t>Die Anforderungen an die Begründung einer Verfügung sind unter Berücksichtigung aller Umstände des Einzelfalles sowie der Interessen der Betroffenen festzulegen. Die Begründung einer Verfügung muss jedenfalls so abgefasst sein, dass die Betroffenen sie sachgerecht anfechten können. Es müssen wenigstens kurz die Überlegungen genannt werden, von denen sich die Behörde leiten liess und auf welche sich ihr Entscheid stützt. Die im Einzelfall erforderliche Begründungsdichte ist dabei namentlich von drei Parametern abhängig: der Eingriffschwere des Entscheides, dem Entscheidungsspielraum, welcher der Behörde infolge Ermessen und unbestimmter Rechtsbegriffe zukommt, und der Komplexität der sachverhaltlichen oder rechtlichen Fragen, die zur Beurteilung stehen (vgl. zum Ganzen: ANDRÉ MOSER/MICHAEL BEUSCH/LORENZ KNEUBÜHLER, Prozessieren vor dem Bundesverwaltungsgericht, Basel 2008, S. 139 Rz. 3.75 ff., insbesondere Rz. 3.103 ff.; HÄFELIN/MÜLLER/UHLMANN, a.a.O., Rz. 1705).</w:t>
      </w:r>
    </w:p>
    <w:p>
      <w:r>
        <w:rPr>
          <w:b/>
        </w:rPr>
        <w:t>E. 6.4.2</w:t>
      </w:r>
    </w:p>
    <w:p>
      <w:r>
        <w:t>Die Vorinstanz hat die angefochtene Verfügung ausschliesslich mit einem Hinweis auf Art. 10 Abs. 1 Bst. e PSMV begründet und in keiner Weise dargelegt, weshalb sie keine Ausnahme gemäss Art. 10 Abs. 3 PSMV gewährte. Diese Ausnahmebestimmung öffnet der Vorinstanz ein ausserordentlich weites Ermessen, dessen korrekte Ausübung nur überprüft werden kann, wenn sie ihren Entscheid diesbezüglich relativ einlässlich begründet oder zumindest im Beschwerdeverfahren dazu rechtsgenüglich Stellung nimmt. Vorliegend ist die angefochtene Verfügung in dieser - durchaus entscheidwesentlichen - Frage nicht begründet und hat die Vorinstanz vor Bundesverwaltungsgericht einzig ausgeführt, eine Ausnahmebewilligung rechtfertige sich aufgrund des geringen Bedarfs von lediglich 5% der Maisfläche nicht. Aufgrund welcher sachlicher Überlegungen sie zu diesem Schluss kam, führt sie nicht aus - obwohl durchaus auch argumentiert werden könnte, dass die Gewährung einer Ausnahme gerade bei einer nichtflächendeckenden Anwendung im Sinne einer Lückenindikation sinnvoll wäre. Die Ablehnung einer Ausnahme blieb damit auch im Beschwerdeverfahren nicht nachvollziehbar und unzureichend begründet. Die Vorinstanz nennt denn auch keine allgemeingültigen Kriterien, nach welchen sie die Möglichkeit der Gewährung von Ausnahmen nach Art. 10 Abs. 3 PSM prüft - was für die Kontrolle der Ermessensausübung unabdingbar wäre. Damit steht fest, dass die Vorinstanz ihre Begründungspflicht verletzt hat.</w:t>
      </w:r>
    </w:p>
    <w:p>
      <w:r>
        <w:rPr>
          <w:b/>
        </w:rPr>
        <w:t>E. 6.4.3</w:t>
      </w:r>
    </w:p>
    <w:p>
      <w:r>
        <w:t>Der Anspruch auf rechtliches Gehör ist formeller Natur. Dessen Verletzung führt ungeachtet der Erfolgsaussichten der Beschwerde in der Sache selbst zur Aufhebung der angefochtenen Verfügung (BGE 127 V 431 E. 3d/aa, BGE 126 I 19 E. 2d/bb). Nach der Rechtsprechung kann eine Verletzung des Gehörsanspruchs aber als geheilt gelten, wenn die unterbliebene Gewährung des rechtlichen Gehörs (also auch die fehlende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(vgl. MOSER/BEUSCH/KNEUBÜHLER, a.a.O. S. 153, Rz. 3.110, BGE 129 I 129 E. 2.2.3, BGE 126 V 130 E. 2b, BGE 126 I 68 E. 2). Vorliegend muss die festgestellte Verletzung der Begründungspflicht und damit die Gehörsverletzung als schwerwiegend qualifiziert werden, wurde der Beschwerdeführerin doch jegliche Möglichkeit verbaut, sich einlässlich mit den Gründen der Verweigerung einer Ausnahme auseinander zu setzen. Dieser Mangel ist einer Heilung nicht zugänglich - umso mehr, als dem Bundesverwaltungsgericht zwar volle Kognition zukommt, es sich jedoch bei Fragen, deren Beantwortung spezialisierte technische und wissenschaftliche Kenntnisse erfordert, eine gewisse Zurückhaltung auferlegt (vgl. E. 2.1 hiervor).</w:t>
      </w:r>
    </w:p>
    <w:p>
      <w:r>
        <w:rPr>
          <w:b/>
        </w:rPr>
        <w:t>E. 7</w:t>
      </w:r>
    </w:p>
    <w:p>
      <w:r>
        <w:t>Damit steht fest, dass die angefochtene Verfügung rechtsfehlerhaft erging. Die Vorinstanz hat das ihr zustehende Ermessen nicht ausgeübt und die angefochtene Verfügung - auch nachträglich - nicht rechtsgenüglich begründet. Die angefochtene Verfügung ist daher aufzuheben. In dieser Beziehung ist die Beschwerde gutzuheissen.</w:t>
      </w:r>
    </w:p>
    <w:p>
      <w:r>
        <w:rPr>
          <w:b/>
        </w:rPr>
        <w:t>E. 7.1</w:t>
      </w:r>
    </w:p>
    <w:p>
      <w:r>
        <w:t>Gemäss Art. 61 VwVG entscheidet die Beschwerdeinstanz in der Sache selbst oder weist diese ausnahmsweise mit verbindlichen Weisungen an die Vorinstanz zurück. Da bei der Prüfung des Zulassungsgesuchs vom 6. Januar 2005 und insbesondere auch der Möglichkeit einer Ausnahmegewährung gemäss Art. 10 Abs. 3 PSMV Fragen beantwortet werden müssen, welche spezialisierte technische und wissenschaftliche Kenntnisse erfordern, zur deren Beantwortung die Vorinstanz als Fachbehörde wesentlich besser geeignet ist als das Bundesverwaltungsgericht, und da es zudem Aufgabe der Vorinstanz ist, im Interesse einer rechtsgleichen Rechtsanwendung allgemeingültige Ausnahmekriterien zu definieren und anzuwenden, ist vorliegend die Sache an die Vorinstanz zurückzuweisen. Diese ist anzuweisen, aufgrund allgemeingültiger, nachvollziehbarer Kriterien zu prüfen, ob eine Ausnahme gemäss Art. 10 Abs. 3 PSMV gewährt werden kann und anschliessend - allenfalls nach Prüfung weiterer Zulassungsbedingungen - neu in einer rechtsgenüglich begründeten Verfügung über das Zulassungsgesuch der Beschwerdeführerin zu entscheiden.</w:t>
      </w:r>
    </w:p>
    <w:p>
      <w:r>
        <w:rPr>
          <w:b/>
        </w:rPr>
        <w:t>E. 7.2</w:t>
      </w:r>
    </w:p>
    <w:p>
      <w:r>
        <w:t>Unter diesen Umständen kann dem Antrag der Beschwerdeführerin, das Produkt O._______ sei durch das Bundesverwaltungsgericht zu bewilligen, nicht stattgegeben werden.</w:t>
      </w:r>
    </w:p>
    <w:p>
      <w:r>
        <w:rPr>
          <w:b/>
        </w:rPr>
        <w:t>E. 8</w:t>
      </w:r>
    </w:p>
    <w:p>
      <w:r>
        <w:t>Zu befinden bleibt noch über die Verfahrenskosten und eine allfällige Parteientschädigung.</w:t>
      </w:r>
    </w:p>
    <w:p>
      <w:r>
        <w:rPr>
          <w:b/>
        </w:rPr>
        <w:t>E. 8.1</w:t>
      </w:r>
    </w:p>
    <w:p>
      <w:r>
        <w:t>Die Verfahrenskosten werden im vorliegenden Verfahren - unter Berücksichtigung des Umfanges und der Schwierigkeit der Streitsache, Art der Prozessführung und finanzieller Lage der Parteien - auf Fr. 2'500.- festgesetzt (Art. 63 Abs. 4bis VwVG in Verbindung mit Art. 1, Art. 2 Abs. 1 und Art. 4 des Reglements über die Kosten und Entschädigungen vor dem Bundesverwaltungsgericht [VGKE], SR 173.320.2). Angesichts des Obsiegens sind der Beschwerdeführerin keine Verfahrenskosten aufzuerlegen (Art. 63 Abs. 1 VwVG e contrario). Der bereits geleisteten Vorschuss in der Höhe von Fr. 2'500.- ist ihr rückzuerstatten. Von der Vorinstanz sind gemäss Art. 63 Abs. 2 VwVG keine Kosten zu erheben.</w:t>
      </w:r>
    </w:p>
    <w:p>
      <w:r>
        <w:rPr>
          <w:b/>
        </w:rPr>
        <w:t>E. 8.2</w:t>
      </w:r>
    </w:p>
    <w:p>
      <w:r>
        <w:t>Mangels verhältnismässig hoher Kosten ist der anwaltlich nicht vertretenen Beschwerdeführerin keine Parteientschädigung zuzusprechen (Art. 64 Abs. 1 VwVG und Art. 7 Abs. 4 und Art. 8 VGKE). Die unterliegende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