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C-424/2020 vom 23. Januar 2025</w:t>
      </w:r>
    </w:p>
    <w:p>
      <w:r>
        <w:t>Bundesverwaltungsgericht, 2025-01-23, DE</w:t>
      </w:r>
    </w:p>
    <w:p>
      <w:r>
        <w:rPr>
          <w:b/>
        </w:rPr>
        <w:t xml:space="preserve">Quelle: </w:t>
      </w:r>
      <w:r>
        <w:t>https://mcp.opencaselaw.ch/entscheid/bvger_C-424_2020</w:t>
      </w:r>
    </w:p>
    <w:p>
      <w:r>
        <w:t>FR: TAF C-424/2020 du 23 janvier 2025</w:t>
      </w:r>
    </w:p>
    <w:p>
      <w:r>
        <w:t>IT: TAF C-424/2020 del 23 gennaio 2025</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5. Dezember 2019, mit welcher im Rahmen der dreijährlichen Überprüfung der Aufnahmebedingungen der PP von B._______ per 1. Februar 2020 gesenkt wurde. Unbestritten ist, dass B._______ die Aufnahmebedingungen der Wirksam- keit und Zweckmässigkeit nach wie vor erfüllt und dass eine gültige Zulas- sung des Schweizerischen Heilmittelinstituts Swissmedic vorliegt (siehe auch die Liste der zugelassenen Präparate auf www.swissmedic.ch). Ebenfalls unstrittig ist, dass die gegenwärtig in der SL publizierten Preise für B._______ nicht mehr wirtschaftlich sind und deshalb eine Senkung der Preise per 1. Februar 2020 erfolgen soll. Strittig ist hingegen, bei welchem Preis die Wirtschaftlichkeit im Rahmen der dreijährlichen Überprüfung der Aufnahmebedingungen zu bejahen ist. Dabei sind insbesondere der Aus- landpreisvergleich (APV) (nachfolgend E. 5) und der therapeutische Quer- vergleich (TQV) (nachfolgend E. 6) strittig.</w:t>
      </w:r>
    </w:p>
    <w:p>
      <w:r>
        <w:rPr>
          <w:b/>
        </w:rPr>
        <w:t>E. 3.1</w:t>
      </w:r>
    </w:p>
    <w:p>
      <w:r>
        <w:t>Das Bundesverwaltungsgericht prüft die Verletzung von Bundesrecht einschliesslich der Überschreitung oder des Missbrauchs des Ermessens,</w:t>
      </w:r>
    </w:p>
    <w:p>
      <w:r>
        <w:t>C-424/2020 Seite 9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(SL-Handbuch) erlassen, bei dem es sich um eine Verwaltungsverordnung handelt, also um eine generalisierte Dienst- anweisung, welche der Gewährleistung einer einheitlichen, verhältnismäs- sigen Verwaltungspraxis und der Sicherstellung der willkürfreien und rechtsgleichen Behandlung dient (Urteile des BVGer C-271/2021 vom</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5. Dezember 2019, geltenden materiellen Bestimmungen (vgl. Urteil des BVGer C-5912/2013 vom 30. April 2015 [nicht in BVGE 2015/51 publizierte] E. 2.3). Dazu gehören neben dem KVG (SR 832.10; in der ab 1. Juli 2019 gültigen Fassung), insbesondere die KVV (in der ab 1. Januar 2019 gülti- gen Fassung) und die KLV (in der ab 1.Oktober 2019 gültigen Fassung). 4. Für die Bestimmung und Überprüfung der SL-Preise von Arzneimitteln sind im Wesentlichen die folgenden Bestimmungen massgebend: 4.1 Die obligatorische Krankenpflegeversicherung übernimmt die Kosten für die Leistungen, die der Diagnose oder Behandlung einer Krankheit oder ihrer Folgen dienen (Art. 25 Abs. 1 KVG). Diese Leistungen umfassen unter anderem die ärztlich oder unter den vom Bundesrat bestimmten Voraus- setzungen von Chiropraktoren oder Chiropraktorinnen verordneten Arznei- 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 tungen periodisch überprüft. 4.2 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 4.3 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t>C-424/2020 Seite 11 Arzneimittel dürfen höchstens nach den Preisen gemäss Abs. 1 verrechnet werden (Art. 52 Abs. 3 KVG). 4.4 Gestützt auf Art. 96 KVG hat der Bundesrat in den Art. 64 ff. KVV (for- melle und materielle) Ausführungsbestimmungen zur Spezialitätenliste er- lassen. Weitere diesbezügliche Vorschriften finden sich in Art. 30 ff. KLV, die das EDI gestützt auf Art. 75 KVV erlassen hat (vgl. BGE 145 V 289 E. 2.2). 4.4.1 Die Spezialitätenliste enthält die bei Abgabe durch Apothekerinnen und Apotheker, Ärztinnen und Ärzte sowie Spitäler und Pflegeheime mass- gebenden Höchstpreise (Art. 67 Abs. 1 KVV). Der Höchstpreis besteht aus dem Fabrikabgabepreis (FAP) und dem Vertriebsanteil (Art. 67 Abs. 1bis KVV). 4.4.2 Die Aufnahme eines Arzneimittels in die Spezialitätenliste setzt vo- raus, dass es wirksam, zweckmässig und wirtschaftlich ist und eine gültige Zulassung des Heilmittelinstituts (Swissmedic) vorliegt (Art. 65 Abs. 1 und 3 KVV und Art. 30 Abs. 1 KLV). 4.4.3 Ein Arzneimittel gilt nach Art. 65b Abs. 1 KVV («Beurteilung der Wirt- schaftlichkeit») als wirtschaftlich, wenn es die indizierte Heilwirkung mit möglichst geringem finanziellem Aufwand gewährleistet. Die Wirtschaftlich- keit wird gemäss Art. 65b Abs. 2 KVV aufgrund eines Vergleichs mit dem Preis in Referenzländern (Auslandpreisvergleich [APV]; Bst. a) und einem Vergleich mit anderen Arzneimitteln (therapeutischer Quervergleich [TQV]; Bst. b) beurteilt (dazu und zum Folgenden: BVGE 2022 V/4 E. 5.2.3). Beim APV wird mit dem FAP verglichen. Die Wirtschaftlichkeit wird auf- grund eines Vergleichs mit den Preisen in Deutschland, Dänemark, Gross- britannien, den Niederlanden, Frankreich, Österreich, Belgien, Finnland und Schweden beurteilt (Art. 34abis Abs. 1 Satz 1 KLV). Bestehen keine öffentlich zugänglichen FAP, so wird der Apothekeneinstandspreis oder, falls dieser auch nicht öffentlich zugänglich ist, der Grosshandelspreis be- rücksichtigt; vom Apothekeneinstandspreis oder vom Grosshandelspreis werden Grosshandelsmargen abgezogen. Das EDI legt die Höhe des Ab- zugs aufgrund der durchschnittlich gewährten Grosshandelsmargen fest. Es kann vorsehen, dass die effektiven anstatt der durchschnittlich gewähr- ten Grosshandelsmargen abgezogen werden (Art. 65b Abs. 3 KVV). Von den FAP der Referenzländer werden in einem Referenzland verbindliche Herstellerrabatte abgezogen. Das EDI legt fest, welche verbindlichen</w:t>
      </w:r>
    </w:p>
    <w:p>
      <w:r>
        <w:t>C-424/2020 Seite 12 Herstellerrabatte für den Abzug zu berücksichtigen sind. Es kann vorse- hen, dass anstatt dieser Herstellerrabatte die effektiven Herstellerrabatte abgezogen werden (Art. 65b Abs. 4 KVV). Beim TQV wird gemäss Art. 65b Abs. 4bis KVV Folgendes überprüft: a. die Wirksamkeit im Verhältnis zu anderen Arzneimitteln, die zur Behand- lung derselben Krankheit eingesetzt werden; b. die Kosten des Arzneimittels pro Tag oder Kur im Verhältnis zu den Kosten von Arzneimitteln, die zur Behandlung derselben Krankheit eingesetzt werden. Nach der Ermittlung des durchschnittlichen Preises der Referenzländer im APV und des durchschnittlichen Preises anderer Arzneimittel im TQV wer- den beide Preise je hälftig gewichtet (Art. 65b Abs. 5 KVV). Bei der Beur- teilung der Wirtschaftlichkeit eines Originalpräparates werden zudem die Kosten für Forschung und Entwicklung berücksichtigt, es sei denn, es handle sich beim Originalpräparat um ein Nachfolgepräparat, das gegen- über dem bisher in der Spezialitätenliste aufgeführten Originalpräparat kei- nen therapeutischen Fortschritt bringe (Art. 65b Abs. 6 KVV). Bringt das Arzneimittel einen bedeutenden therapeutischen Fortschritt, so wird im Rahmen des TQV während höchstens 15 Jahren ein Innovationszuschlag berücksichtigt (Art. 65b Abs. 7 KVV). 4.4.4 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APV auf der Basis der umsatz- stärksten Packung durchgeführt. Der TQV wird nach Art. 65d Abs. 3 KVV auf der Basis der kleinsten Packung und Dosierung durchgeführt, es sei denn, die kleinste Packung und Dosierung erlaube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wobei dies praxisge- mäss auch erst auf einen späteren Zeitpunkt hin erfolgt. Liegt der dem</w:t>
      </w:r>
    </w:p>
    <w:p>
      <w:r>
        <w:t>C-424/2020 Seite 13 geltenden Höchstpreis zugrundeliegende FAP unter dem nach Art. 65b Abs. 5 KVV ermittelten FAP, so rechtfertigt dies keine Preiserhöhung. 4.4.5 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Zulassungsinhaberin direkt oder indirekt Publikumswerbung für das Arzneimittel betreibt (Bst. d), die Gebühren oder Kosten nach Art. 70b KVV nicht rechtzeitig entrichtet wer- den (Bst. e), die Zulassungsinhaberin sich weigert, die für die Überprüfun- gen nach den Art. 65d–65g KVV notwendigen Unterlagen einzureichen (Bst. f), oder die Zulassungsinhaberin sich weigert, erzielte Mehreinnah- men nach Art. 67a KVV zurückzuerstatten (Bst. g).</w:t>
      </w:r>
    </w:p>
    <w:p>
      <w:r>
        <w:rPr>
          <w:b/>
        </w:rPr>
        <w:t>E. 4</w:t>
      </w:r>
    </w:p>
    <w:p>
      <w:r>
        <w:t>Für die Bestimmung und Überprüfung der SL-Preise von Arzneimitteln sind im Wesentlichen die folgenden Bestimmungen massgebend:</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 Arzneimittel dürfen höchstens nach den Preisen gemäss Abs. 1 verrechnet werden (Art. 52 Abs. 3 KVG).</w:t>
      </w:r>
    </w:p>
    <w:p>
      <w:r>
        <w:rPr>
          <w:b/>
        </w:rPr>
        <w:t>E. 4.4</w:t>
      </w:r>
    </w:p>
    <w:p>
      <w:r>
        <w:t>Gestützt auf Art. 96 KVG hat der Bundesrat in den Art. 64 ff. KVV (formelle und materielle) Ausführungsbestimmungen zur Spezialitätenliste erlassen. Weitere diesbezügliche Vorschriften finden sich in Art. 30 ff. KLV, die das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besteht aus dem Fabrikabgabepreis (FAP) und dem Vertriebsanteil (Art. 67 Abs. 1bis KVV).</w:t>
      </w:r>
    </w:p>
    <w:p>
      <w:r>
        <w:rPr>
          <w:b/>
        </w:rPr>
        <w:t>E. 4.4.2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[APV]; Bst. a) und einem Vergleich mit anderen Arzneimitteln (therapeutischer Quervergleich [TQV]; Bst. b) beurteilt (dazu und zum Folgenden: BVGE 2022 V/4 E. 5.2.3). Beim APV wird mit dem FAP verglichen. Die Wirtschaftlichkeit wird aufgrund eines Vergleichs mit den Preisen in Deutschland, Dänemark, Grossbritannien, den Niederlanden, Frankreich, Österreich, Belgien, Finnland und Schweden beurteilt (Art. 34abis Abs. 1 Satz 1 KLV). Bestehen keine öffentlich zugänglichen FAP,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FAP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TQV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APV und des durchschnittlichen Preises anderer Arzneimittel im TQV werden beide Preise je hälftig gewichtet (Art. 65b Abs. 5 KVV). Bei der Beurteilung der Wirtschaftlichkeit eines Originalpräparates werden zudem die Kosten für Forschung und Entwicklung berücksichtigt, es sei denn, es handle sich beim Originalpräparat um ein Nachfolgepräparat, das gegenüber dem bisher in der Spezialitätenliste aufgeführten Originalpräparat keinen therapeutischen Fortschritt bringe (Art. 65b Abs. 6 KVV). Bringt das Arzneimittel einen bedeutenden therapeutischen Fortschritt, so wird im Rahmen des TQV während höchstens 15 Jahren ein Innovationszuschlag berücksichtigt (Art. 65b Abs. 7 KVV).</w:t>
      </w:r>
    </w:p>
    <w:p>
      <w:r>
        <w:rPr>
          <w:b/>
        </w:rPr>
        <w:t>E. 4.4.4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APV auf der Basis der umsatzstärksten Packung durchgeführt. Der TQV wird nach Art. 65d Abs. 3 KVV auf der Basis der kleinsten Packung und Dosierung durchgeführt, es sei denn, die kleinste Packung und Dosierung erlaube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wobei dies praxisgemäss auch erst auf einen späteren Zeitpunkt hin erfolgt. Liegt der dem geltenden Höchstpreis zugrundeliegende FAP unter dem nach Art. 65b Abs. 5 KVV ermittelten FAP, so rechtfertigt dies keine Preiserhöhung.</w:t>
      </w:r>
    </w:p>
    <w:p>
      <w:r>
        <w:rPr>
          <w:b/>
        </w:rPr>
        <w:t>E. 4.4.5</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Zulassungsinhaberin direkt oder indirekt Publikumswerbung für das Arzneimittel betreibt (Bst. d), die Gebühren oder Kosten nach Art. 70b KVV nicht rechtzeitig entrichtet werden (Bst. e), die Zulassungsinhaberin sich weigert, die für die Überprüfungen nach den Art. 65d-65g KVV notwendigen Unterlagen einzureichen (Bst. f), oder die Zulassungsinhaberin sich weigert, erzielte Mehreinnahmen nach Art. 67a KVV zurückzuerstatten (Bst. g).</w:t>
      </w:r>
    </w:p>
    <w:p>
      <w:r>
        <w:rPr>
          <w:b/>
        </w:rPr>
        <w:t>E. 5</w:t>
      </w:r>
    </w:p>
    <w:p>
      <w:r>
        <w:t>Zunächst ist der Auslandpreisvergleich (APV) zu überprüfen. Die Vorin- stanz führte den APV durch, ohne das Referenzland Dänemark (vgl. Art. 34abis Abs. 1 KLV) einzubeziehen. Dabei resultierte für die um- satzstärkste Packung B._______ in der Schweiz (x mg/2y mg [3.5z Stück]) ein prozentualer Unterschied zwischen dem FAP in der Schweiz und den durchschnittlichen FAP der Referenzländer (von Deutschland, Grossbritan- nien, den Niederlanden, Frankreich, Österreich, Belgien, Finnland und Schweden) in Höhe von –(…) % (BVGer-act. 13 Rz. 12 sowie BAG-act. 1 von Dossier Nr. 1 Ziff. 2.2.3).</w:t>
      </w:r>
    </w:p>
    <w:p>
      <w:r>
        <w:rPr>
          <w:b/>
        </w:rPr>
        <w:t>E. 5.1</w:t>
      </w:r>
    </w:p>
    <w:p>
      <w:r>
        <w:t>Die Verfahrensbeteiligten vertreten dazu folgende Standpunkte:</w:t>
      </w:r>
    </w:p>
    <w:p>
      <w:r>
        <w:rPr>
          <w:b/>
        </w:rPr>
        <w:t>E. 5.1.1</w:t>
      </w:r>
    </w:p>
    <w:p>
      <w:r>
        <w:t>Die Beschwerdeführerin macht geltend, die Vorinstanz habe den APV in Verletzung von Art. 34abis Abs. 1 KLV und damit bundesrechtswidrig durchgeführt. Eine lineare Umrechnung des Preises sei vorliegend mög- lich. Zwar treffe es zu, dass ein Vergleich mit dem exakt gleichen Arznei- mittel ausscheide, weil B._______ x mg [C._______]/2y mg [D._______] zu 3.5z Stück in Dänemark nicht im Handel sei. Aus der SL gehe jedoch hervor, dass die Menge des Wirkstoffes C._______ keinen Einfluss auf den Preis des Arzneimittels habe, weder in der Schweiz noch in Dänemark (vgl. BVGer-act. 13 Beilage 39). Ferner kenne Dänemark auch das Arz- neimittel F._______ (nachfolgend: F._______), welches neben C._______ und D._______ noch einen dritten Wirkstoff enthalte, der sich ebenfalls nicht auf den Preis auswirke. Preisrelevant seien damit lediglich die Menge</w:t>
      </w:r>
    </w:p>
    <w:p>
      <w:r>
        <w:t>C-424/2020 Seite 14 des Hauptwirkstoffs und die Packungsgrösse. Konkret könne mit dem Fak- tor 2 für die Umrechnung der Dosisstärke (2y mg D._______ zu y mg D._______) und dem Faktor 3.5 für die Umrechnung der Packungsgrösse (3.5z Stück zu z Stück), mithin einem kombinierten Faktor 7, auch für Dä- nemark ein Referenzpreis für B._______ x mg/2y mg zu 3.5z Stück errech- net werden.</w:t>
      </w:r>
    </w:p>
    <w:p>
      <w:r>
        <w:rPr>
          <w:b/>
        </w:rPr>
        <w:t>E. 5.1.2</w:t>
      </w:r>
    </w:p>
    <w:p>
      <w:r>
        <w:t>Die Vorinstanz führt in der Vernehmlassung aus, Dänemark dürfe nicht als Referenzland in den APV einbezogen werden. Die in der Schweiz umsatzstärkste Packung (B._______ x mg/2y mg [3.5z Stück]) sei in Dä- nemark nicht auf dem Markt. Der dänische Markt kenne nur die Packung B._______ zu x mg/y mg (z Stück), weshalb es nicht möglich sei, für beide Wirkstoffe einen gemeinsamen, linearen Umrechnungsfaktor zu bestim- men, da bei einer Verdoppelung der Menge D._______ auch die Menge C._______ verdoppelt würde. Selbst wenn zutreffen sollte, dass die Stärke von C._______ sich nicht auf den Preis auswirke, ändere dies nichts daran, dass bei einer linearen Umrechnung ein Preis für B._______ 2x mg/2y mg resultiere, was aber nicht der gleichen Therapie entspreche. Es würden so die Kosten für eine Therapie berechnet, die nicht der Therapie mit der um- satzstärksten Packung in der Schweiz (B._______ x mg/2y mg) entsprä- che. Der so ermittelte Preis wäre denn auch deutlich zu hoch im Vergleich zum Preis für diese Therapie in den übrigen Referenzländern, was letztlich auch dem Kostengünstigkeitsprinzip zuwiderliefe (BVGer-act. 13 Rz. 12, 29).</w:t>
      </w:r>
    </w:p>
    <w:p>
      <w:r>
        <w:rPr>
          <w:b/>
        </w:rPr>
        <w:t>E. 5.1.3</w:t>
      </w:r>
    </w:p>
    <w:p>
      <w:r>
        <w:t>Die Beschwerdeführerin stellt sich weiter auf den Eventualstand- punkt, es sei keine Voraussetzung für die Berücksichtigung eines Refe- renzlandes, dass eine lineare Umrechnung möglich sei. Weder der Wort- laut noch der Sinn und Zweck der anwendbaren Bestimmung würden dies stützen. Auch das Bundesverwaltungsgericht habe die Möglichkeit der li- nearen Umrechnung nicht zur Voraussetzung für die Durchführung eines APV erklärt. Grundsätzlich sei bei Verfügbarkeit des betreffenden Arznei- mittels in einem Referenzland ein APV durchzuführen, der einem Vergleich mit einem gleichen Arzneimittel in den Vergleichsländern möglichst nahe- komme und den betreffenden Umständen in sachgerechter Art und Weise Rechnung trage. Im Übrigen ergebe sich die vom BAG behauptete Voraus- setzung des linearen Verhältnisses verschiedener Wirkstoffe zueinander auch nicht aus dem SL-Handbuch, das ohnehin nur als Verwaltungsver- ordnung qualifiziere und sich damit an das übergeordnete Recht zu halten habe. Vielmehr enthalte es eine Lücke, weil es nicht bestimme, wie na- mentlich bei Kombinationspräparaten zu verfahren sei, wenn die im</w:t>
      </w:r>
    </w:p>
    <w:p>
      <w:r>
        <w:t>C-424/2020 Seite 15 Referenzland erhältlichen Dosisstärken nicht linear auf die in der Schweiz umsatzstärkste Packung (bzw. die entsprechende Dosisstärke, welche mit dieser Packung vertrieben wird) umgerechnet werden können. Dänemark könne somit mittels alternativer Berechnung in den APV einbezogen wer- den. Ausgangspunkt der alternativen Berechnungsmethode sei der Um- stand, dass mit B._______ x mg/y mg zu z Stück eine Dosisstärke und Pa- ckungsgrösse sowohl in der Schweiz als auch in Dänemark verfügbar sei. Auf dieser Grundlage sei ein sachgerechter Vergleich möglich, der nicht auf einer linearen Umrechnung, sondern auf der Ermittlung eines Sen- kungssatzes beruhe. Dafür sei der Apothekeneinstandspreis zu nehmen und die Grosshandelsmarge abzuziehen. Nach Umrechnung anhand des durchschnittlichen Wechselkurses werde der FAP in der Schweiz herange- zogen und mit demjenigen in Dänemark verglichen. Das sich daraus erge- bende Preisverhältnis sei dann auf die in der Schweiz umsatzstärkste Pa- ckung (B._______ x mg/2y mg zu 3.5z Stück) zu übertragen. Liesse die Vorinstanz eine lineare Umrechnung zu, jedoch nicht die alternative Be- rechnungsweise, so sei dies willkürlich, da beide Vorgehensweisen mit Hy- pothesen arbeiten würden. Denn es sei keineswegs bekannt und könne nicht vorausgesetzt werden, dass die Preisverhältnisse im In- und Ausland stets linear wären bzw. sind. Die Vorinstanz habe ihren Ermessensspiel- raum unterschritten und den rechtserheblichen Sachverhalt unvollständig festgestellt, indem sie davon ausgegangen sei, dass die lineare Umrech- nungsmethode die einzig zulässige Berechnungsweise für die Referenz- preisbildung darstelle (BVGer-act. 1 Rz. 36, 44-62).</w:t>
      </w:r>
    </w:p>
    <w:p>
      <w:r>
        <w:rPr>
          <w:b/>
        </w:rPr>
        <w:t>E. 5.1.4</w:t>
      </w:r>
    </w:p>
    <w:p>
      <w:r>
        <w:t>Die Vorinstanz vertritt in der Vernehmlassung weiterhin die Ansicht, es bestehe kein Raum für eine alternative Berechnung. Sie verweist dabei auf Ziff. C.3.6 des SL-Handbuchs: «Wird die Packungsgrösse oder Dosisstärke, die Gegenstand des Gesuches oder der Überprüfung ist, in den Vergleichsländern nicht angeboten, sind die Preise der am ehesten vergleichbaren Packungsgrösse und Dosisstärke an- zugeben, die in diesen Ländern angeboten wird. Verschiedene Packungen gleicher Dosisstärke und verschiedene Dosisstärken mit gleicher Packungs- grösse sind linear umzurechnen.» Die lineare Umrechnung solle einen möglichst breit abgestützten APV er- möglichen. Eine solche sei aber bei Kombinationspräparaten wie B._______, deren Dosisstärken der Wirkstoffe nicht um den gleichen Fak- tor erhöht werden können, nicht möglich (BVGer-act. 13 Rz. 11 f.).</w:t>
      </w:r>
    </w:p>
    <w:p>
      <w:r>
        <w:t>C-424/2020 Seite 16</w:t>
      </w:r>
    </w:p>
    <w:p>
      <w:r>
        <w:rPr>
          <w:b/>
        </w:rPr>
        <w:t>E. 5.1.5</w:t>
      </w:r>
    </w:p>
    <w:p>
      <w:r>
        <w:t>In ihrer Replik hält die Beschwerdeführerin an ihrem Standpunkt fest, dass eine lineare Umrechnung möglich sei und eventualiter eine alternative Berechnungsweise anzuwenden sei. Die Beschwerdeführerin führt insbe- sondere aus, es sei nicht nachvollziehbar, weshalb bei einer linearen Um- rechnung von B._______ x mg/y mg auf 2x mg/2y mg eine gegenüber B._______ x mg/2y mg andere Therapie vorliegen sollte. Die Therapie un- terscheide sich lediglich bei der Dosisstärke, während das Arzneimittel dasselbe bleibe. Die Fachinformation unterscheide in Bezug auf die Indi- kationen und Anwendungsmöglichkeiten in keiner Weise zwischen den Do- sisstärken von x mg/2y mg und 2x mg/2y mg (BVGer-act. 19 Rz. 15). Zu- dem wirft die Beschwerdeführerin der Vorinstanz vor, den APV ergebnis- orientiert und damit nicht unvoreingenommen ermittelt zu haben. Dies zeige sich bei ihrem Argument, der von der Beschwerdeführerin für Däne- mark errechnete Referenzpreis liege deutlich über den Preisen der übrigen Referenzländer. Diese sog. «Ausreisser-Praxis» sei in den Jahren 2009 und 2010 aufgegeben worden (BVGer-act. 19 Rz. 17).</w:t>
      </w:r>
    </w:p>
    <w:p>
      <w:r>
        <w:rPr>
          <w:b/>
        </w:rPr>
        <w:t>E. 5.2.1</w:t>
      </w:r>
    </w:p>
    <w:p>
      <w:r>
        <w:t>Art. 34abis Abs. 2 KLV sieht für die Durchführung des APV vor, dass in den Referenzländern Deutschland, Dänemark, Grossbritannien, den Niederlanden, Frankreich, Österreich, Belgien, Finnland und Schweden mit dem gleichen Arzneimittel zu vergleichen ist, unabhängig von der Bezeich- nung des Arzneimittels im Referenzland, der Zulassungsinhaberin im Re- ferenzland, der Vergütung im Referenzland und unabhängig davon, ob die Schweizer Zulassungsinhaberin einen Einfluss auf den FAP im Referenz- land hat. Als gleiche Arzneimittel gelten Originalpräparate mit gleichem Wirkstoff und derselben Darreichungsform.</w:t>
      </w:r>
    </w:p>
    <w:p>
      <w:r>
        <w:rPr>
          <w:b/>
        </w:rPr>
        <w:t>E. 5.2.2</w:t>
      </w:r>
    </w:p>
    <w:p>
      <w:r>
        <w:t>Ziff. C.3.6 SL-Handbuch (Version 2017) hält Folgendes fest: «Wird die Packungsgrösse oder Dosisstärke, die Gegenstand des Gesuches oder der Überprüfung ist, in den Vergleichsländern nicht angeboten, sind die Preise der am ehesten vergleichbaren Packungsgrösse und Dosis- stärke anzugeben, die in diesen Ländern angeboten wird. Verschiedene Packungen gleicher Dosisstärke und verschiedene Dosisstärken mit glei- cher Packungsgrösse sind linear umzurechnen.» Im vorliegenden Fall un- terscheidet sich das Präparat in Dänemark nicht nur in der Dosisstärke, sondern auch in der verfügbaren Packungsgrösse. Sind Dosisstärke und Packungsgrösse unterschiedlich zur Packung in der Schweiz, ist nach der Verwaltungspraxis diejenige Dosisstärke zu wählen, die der in der Schweiz</w:t>
      </w:r>
    </w:p>
    <w:p>
      <w:r>
        <w:t>C-424/2020 Seite 17 erhältlichen Dosisstärke am ähnlichsten ist (vgl. die Erläuterungen im APV- Formular).</w:t>
      </w:r>
    </w:p>
    <w:p>
      <w:r>
        <w:rPr>
          <w:b/>
        </w:rPr>
        <w:t>E. 5.2.3</w:t>
      </w:r>
    </w:p>
    <w:p>
      <w:r>
        <w:t>In seinem Urteil C-5986/2019 vom 2. November 2023 hat das Bun- desverwaltungsgericht seine im Urteil C-510/2019 vom 15. April 2021 dar- gelegte Auffassung bestätigt, wonach es sachgerecht ist, generell mit der- selben Dosisstärke respektive mit derselben Packungsgrösse zu verglei- chen, sofern diese vorhanden und ein entsprechender Vergleich möglich ist. Es sei demnach davon auszugehen, dass ein APV mit Präparaten einer anderen Dosisstärke oder Packungsgrösse nur ausnahmsweise zulässig ist, zum Beispiel wenn keine Präparate derselben Dosisstärke respektive Packungsgrösse im entsprechenden Referenzland erhältlich sind. Es sei anzunehmen, dass die Wahl von Präparaten derselben Dosisstärke und Packungsgrösse das Preisniveau für das zu überprüfende Präparat besser abbildet als ein Vergleich mit anderen Packungsgrössen. Um Verfälschun- gen (in die eine oder andere Richtung) zu vermeiden, sei demzufolge ein Vergleich mit Präparaten derselben Dosisstärke und Packungsgrösse – wenn immer möglich – vorzuziehen. Dabei hat die jüngste Rechtsprechung der Vorinstanz einen Ermessensspielraum zuerkannt, den Länderkorb ein- zuschränken, wenn die Vergleichsarzneimittel nicht in der gleichen Pa- ckungsgrösse vorliegen (Urteil C-5986/2019 E. 9.4.2 am Ende m.H.; kri- tisch CLAUDIO HELMLE, Rechtsprechungsupdate zur Spezialitätenliste, LSR 2024, S. 91 ff., 92 f.).</w:t>
      </w:r>
    </w:p>
    <w:p>
      <w:r>
        <w:rPr>
          <w:b/>
        </w:rPr>
        <w:t>E. 5.2.4</w:t>
      </w:r>
    </w:p>
    <w:p>
      <w:r>
        <w:t>Vorliegend ist in Dänemark ein gleiches Arzneimittel, also ein Erzeug- nis pharmazeutisch identischer (Wirkstoff-)Zusammensetzung, Darrei- chungsform und Anwendung, im Handel, weshalb es grundsätzlich in den APV einzubeziehen ist (vgl. Art. 65b Abs. 2 Bst. a KVV; Art. 34abis Abs. 1 und 2 KLV). Allerdings ist in Dänemark weder ein Präparat mit derselben Dosisstärke und Packungsgrösse noch ein Präparat im Handel, das eine direkte lineare Umrechnung von Haupt- und Nebenwirkstoff auf die in der Schweiz umsatzstärkste Dosisstärke und Packungsgrösse zulassen würde. In Dänemark ist nur die Packung zu x mg/y mg (z Stück) verfügbar, was nicht der in der Schweiz umsatzstärksten Packung von x mg/2y mg (3.5z Stück) entspricht. Dies erschwert einen ordentlichen APV. Eine direkte lineare Umrechnung (vgl. zu dieser Methode z.B. Urteile des BVGer C-5919/2013 vom 25. Januar 2017 E. 5.6.5, C-6146/2014 vom 28. September 2016 E. 5.3, C-6594/2012 vom 31. März 2016 E. 6.2.2) von Haupt- und Nebenwirkstoff ist nicht möglich, da Haupt- und Nebenwirkstoff nicht im gleichen Verhältnis umgerechnet werden können (Verdoppelung</w:t>
      </w:r>
    </w:p>
    <w:p>
      <w:r>
        <w:t>C-424/2020 Seite 18 des Hauptwirkstoffes [von y mg auf 2y mg] bei konstantem Nebenwirk- stoff). Das unterscheidet Dänemark vorliegend von den anderen Referenz- ländern (Deutschland, den Niederlanden, Grossbritannien, Schweden, Finnland, Belgien, Frankreich und Österreich), in denen die in der Schweiz umsatzstärkste Packung verfügbar ist. Die Vorinstanz ist daher davon aus- gegangen, dass ein gleiches Arzneimittel in Dänemark nicht im Handel ist, und hat den Länderkorb entsprechend eingeschränkt.</w:t>
      </w:r>
    </w:p>
    <w:p>
      <w:r>
        <w:rPr>
          <w:b/>
        </w:rPr>
        <w:t>E. 5.2.5</w:t>
      </w:r>
    </w:p>
    <w:p>
      <w:r>
        <w:t>Das Vorgehen der Vorinstanz bewegt sich innerhalb des von der Rechtsprechung anerkannten Ermessensspielraums (vgl. E. 5.2.3 vorste- hend). Der APV wurde mit acht Referenzländern (Deutschland, den Nie- derlanden, Grossbritannien, Schweden, Finnland, Belgien, Frankreich und Österreich) durchgeführt, was eine sachgerechte und nachvollziehbare Er- mittlung des Preisniveaus zulässt. Auf weitere Abklärungen zur Preisrele- vanz des Nebenwirkstoffs in Dänemark wie auch zu einer alternativen Be- rechnungsmethode konnte die Vorinstanz entgegen der Beschwerdeführe- rin verzichten, ohne dass darin eine Ermessensunterschreitung oder ein willkürliches Verhalten liegt. Hinzu kommt, dass die von der Beschwerdeführerin im Hauptstandpunkt beantragte lineare Umrechnung (ohne Berücksichtigung des Nebenwirk- stoffs) zu einer Umrechnung um den Faktor (…) geführt hätte (Faktor (…) für Packungsgrösse [3.5z Stück / z Stück], Faktor (…) für Dosisstärke [2y mg / y mg]). Zu Recht weist die Vorinstanz darauf hin, dass dies den APV möglicherweise verzerren und dem gesetzlichen Ziel einer qualitativ hochstehenden und zweckmässigen gesundheitlichen Versorgung zu möglichst günstigen Kosten (Art. 43 Abs. 6 KVG) abträglich sein könnte.</w:t>
      </w:r>
    </w:p>
    <w:p>
      <w:r>
        <w:rPr>
          <w:b/>
        </w:rPr>
        <w:t>E. 5.2.6</w:t>
      </w:r>
    </w:p>
    <w:p>
      <w:r>
        <w:t>Zusammenfassend hat die Vorinstanz beim APV im Rahmen ihres Ermessens unter Einhaltung der gesetzlichen Bestimmungen sowie der bundesgerichtlichen und bundesverwaltungsgerichtlichen Rechtsprechung gehandelt. Demnach ist mit der Vorinstanz davon auszugehen, dass der aktuelle FAP der umsatzstärksten Packung in der Schweiz Fr. (…) beträgt, wohingegen der APV einen durchschnittlichen FAP in den Referenzländern von umgerechnet Fr. (…) ergibt. Es resultiert ein prozentualer Unterschied zwischen dem FAP in der Schweiz und den durchschnittlichen FAP der Re- ferenzländer in Höhe von –(…) % (vgl. BAG-act. 11 von Dossier Nr. 2).</w:t>
      </w:r>
    </w:p>
    <w:p>
      <w:r>
        <w:rPr>
          <w:b/>
        </w:rPr>
        <w:t>E. 6</w:t>
      </w:r>
    </w:p>
    <w:p>
      <w:r>
        <w:t>Weiter ist der TQV zu überprüfen. Die Vorinstanz führte dazu in der ange- fochtenen Verfügung allgemein aus, sie beabsichtige, für alle kombinierten</w:t>
      </w:r>
    </w:p>
    <w:p>
      <w:r>
        <w:t>C-424/2020 Seite 19 E._______ die für den TQV berücksichtigte Dosisstärke bzw. Dosierung nach einer einheitlichen Regelung festzulegen. Dabei seien die üblichen Regelungen zu der für den TQV relevanten Dosierung nicht durchwegs an- wendbar. Die Vorinstanz bilde daher für den TQV bei diesen Arzneimitteln den Mittelwert der heranzuziehenden Dosisstärken für die gemäss Fachin- formation übliche Dosierung (bzw., falls eine solche fehle, für die gesamte Erhaltungsdosisspanne) des Hauptwirkstoffs. Bei einer Erhaltungsdo- sisspanne, welche mehrere Dosisstärken des Hauptwirkstoffs berücksich- tige, würden jeweils nur die tiefste und höchste mögliche Dosierung des Hauptwirkstoffs in Kombination mit der tiefsten Dosierung des Nebenwirk- stoffes berücksichtigt. Dabei werde die Dosisstärke mit der tiefsten Dosie- rung des Nebenwirkstoffs in kleinster Packung berücksichtigt (BAG-act. 1 von Dossier Nr. 1). Vorliegend ermittelte die Vorinstanz die mittleren TTK über das arithmeti- sche Mittel von einer Filmtablette B._______ x mg/y mg (= tiefste mögliche Dosierung des Hauptwirkstoffs in Kombination mit der tiefsten Dosierung des Nebenwirkstoffs) und zwei Filmtabletten B._______ x mg/2y mg (= höchste mögliche Dosierung des Hauptwirkstoffs in Kombination mit der tiefsten Dosierung des Nebenwirkstoffs). Dies jeweils in einer Packung von z Stück (= kleinste Packung). Als Vergleichsarzneimittel wählte die Vor- instanz G._______ mit den Dosisstärken (…) und (…) sowie H._______ mit den Dosisstärken (…) und (…). Zwischen dem aktuellen FAP und dem FAP aufgrund des TQV ergebe sich ein prozentualer Unterschied in Höhe von –(…) % (BAG-act. 1 von Dossier Nr. 1). [Tabelle von Packungen und Preisen]</w:t>
      </w:r>
    </w:p>
    <w:p>
      <w:r>
        <w:rPr>
          <w:b/>
        </w:rPr>
        <w:t>E. 6.1</w:t>
      </w:r>
    </w:p>
    <w:p>
      <w:r>
        <w:t>Die Auswahl der Vergleichsarzneimittel G._______ und H._______ ist zwischen den Parteien nicht strittig (vgl. zur Vergleichbarkeit der Arzneimit- tel: BVGE 2022 V/4 E. 6.2 mit Hinweis auf BGE 143 V 369 E. 5.4.2 und BGE 110 V 199 E. 3a). Im Übrigen führen die Verfahrensbeteiligten Fol- gendes aus:</w:t>
      </w:r>
    </w:p>
    <w:p>
      <w:r>
        <w:rPr>
          <w:b/>
        </w:rPr>
        <w:t>E. 6.1.1</w:t>
      </w:r>
    </w:p>
    <w:p>
      <w:r>
        <w:t>Die Beschwerdeführerin bringt vor, die TTK seien unsachgemäss und auf nicht nachvollziehbare Weise bestimmt worden. Die Fachinformationen dienten nur als Hilfsmittel zur möglichst genauen Ermittlung der TTK. Die Vorinstanz habe gegen Art. 65d Abs. 3 KVV, Art. 65b Abs. 4bis KVV und das Rechtsgleichheitsgebot verstossen sowie den Sachverhalt in Verletzung des Untersuchungsgrundsatzes unvollständig festgestellt, Letzteres indem sie zu Unrecht auf die Fachinformation abgestellt habe.</w:t>
      </w:r>
    </w:p>
    <w:p>
      <w:r>
        <w:t>C-424/2020 Seite 20 Konkret seien bei den Arzneimitteln auch die höheren Dosisstärken der je- weiligen Nebenwirkstoffe zu berücksichtigen. Zur Abbildung des Dosie- rungsbereichs, in welchem das Arzneimittel vermutungshalber üblicher- weise angewendet wird, seien richtigerweise sämtliche üblichen bzw. emp- fohlenen Dosierungen und Dosisstärken in den TQV einzubeziehen, auch wenn dies zur Berücksichtigung höherer Dosisstärken des Nebenwirkstof- fes (vorliegend C._______) führe. Nur so könne ein angemessener Ver- gleich der tatsächlichen mittleren TTK durchgeführt und Art. 65d Abs. 3 KVV Genüge getan werden. Dass die tatsächlichen Therapiekosten ausschlaggebend seien, ergebe sich auch aus dem Urteil C-595/2015. Die vorliegenden Fachinformationen seien zu wenig präzise formuliert und deshalb nicht ohne Weiteres massgebend. So widerspreche sich auch die Vorinstanz diesbezüglich. Die Beschwerdeführerin will die mittleren TTK auf folgender Basis berechnen (BVGer-act. 1 Rz. 66, 68, 73-77): − für B._______: 1 Filmtablette täglich zu x mg/y mg, x mg/2y mg oder 2x mg/2y mg; − für G._______: 1 Filmtablette täglich zu (…), (…) oder (…); − für H._______: 1 Filmtablette täglich zu (…). Gleichzeitig beanstandet die Beschwerdeführerin, dass die Vorinstanz die in den Fachinformationen von B._______ zwar genannte, jedoch in der Praxis irrelevante Maximaldosierung von zwei Filmtabletten täglich zu x mg/2y mg (und damit 2x mg/4y mg) beim TQV berücksichtigt habe. Es sei bekannt und belegbar, dass die gemäss Fachinformation von B._______ definierte Maximaldosis von zwei Tabletten zu x mg/2y mg zwar zulässig und möglich sei, in der klinischen Praxis jedoch kaum verschrie- ben werde. Der Ausnahmecharakter lasse sich auch mit der Entstehungs- geschichte begründen (vgl. BVGer-act. 1 Beilage 24). Unter anderem stamme die in der angefochtenen Verfügung nun zum Nachteil der Be- schwerdeführerin ausgelegte Formulierung (betreffend empfohlene Dosis: «[...] bis maximal 2 Filmtabletten C._______/D._______ x mg/2y mg pro Tag»; betreffend Maximaldosis: «[...] auf ein Maximum von zwei Tabletten B._______ zu x mg/2y mg pro Tag [...]»; vgl. BVGer-act. 1 Beilage 25, S. 1 f.) von Swissmedic. Indem die Vorinstanz diese Tatsache bewusst nicht berücksichtigt habe, habe sie Art. 65b Abs. 4bis Bst. b KVV und den Unter- suchungsgrundsatz nach Art. 12 VwVG verletzt (BVGer-act. 1 Rz. 78-84). Im Zusammenhang mit dem Vorbringen, dass die in der Praxis nicht vor- kommende Maximaldosierung aus dem TQV ausgeschlossen werden</w:t>
      </w:r>
    </w:p>
    <w:p>
      <w:r>
        <w:t>C-424/2020 Seite 21 solle, verweist die Beschwerdeführerin schliesslich auf die Preisüberprü- fung von F._______. In ihrer Mitteilung vom 13. September 2019 betreffend F._______ (vgl. BVGer-act. 1 Beilage 28) habe die Vorinstanz nämlich die gemäss Fachinformationen als «höchste empfohlene» Dosis von F._______ […] (zwei Tabletten F._______ […]) nicht in den TQV genom- men, weil diese in der Praxis kaum verschrieben würde. Indem das BAG den vorliegenden Fall in sachlich nicht zu rechtfertigender Weise anders behandelt habe, obwohl die rechtserheblichen Sachverhaltsgrundlagen gleich seien, habe es das Rechtsgleichheitsgebot nach Art. 8 Abs. 1 BV verletzt (BVGer-act. 1 Rz. 85-87).</w:t>
      </w:r>
    </w:p>
    <w:p>
      <w:r>
        <w:rPr>
          <w:b/>
        </w:rPr>
        <w:t>E. 6.1.2</w:t>
      </w:r>
    </w:p>
    <w:p>
      <w:r>
        <w:t>In der Vernehmlassung hält die Vorinstanz am durchgeführten TQV gemäss Verfügung vom 5. Dezember 2019 fest. Die definierte Maximaldo- sis von zwei Tabletten B._______ zu x mg/2y mg pro Tag (und damit 2x mg/4y mg) werde gemeinsam mit den anderen möglichen Dosierungen einleitend in der Fachinformation genannt. Ein Ausnahmecharakter sei nicht ersichtlich. Ferner sei für den Einbezug in die Berechnung des TQV unmassgeblich, ob alle Dosierungen in der Praxis gleich oft eingesetzt wür- den. Massgebend sei einzig die Fachinformation, aus der sich vorliegend nicht ergebe, dass die Maximaldosierung keine klinische Bedeutung habe. Da die Fachinformation eine eindeutige Dosisspanne definiere, bestehe kein Raum für die von der Beschwerdeführerin eingereichten Informatio- nen (BVGer-act. 13 Rz. 26 f.). Im Gegensatz dazu sei beim Arzneimittel F._______ aufgrund der Fachinformation davon auszugehen, es handle sich bei der Maximaldosierung um eine Ausnahmedosierung (BVGer- act. 13 Rz. 28 f.).</w:t>
      </w:r>
    </w:p>
    <w:p>
      <w:r>
        <w:rPr>
          <w:b/>
        </w:rPr>
        <w:t>E. 6.1.3</w:t>
      </w:r>
    </w:p>
    <w:p>
      <w:r>
        <w:t>In der Replik hält die Beschwerdeführerin an ihren Anträgen fest und führt dazu namentlich aus, Sinn und Zweck des TQV sei, die tatsächlichen Therapiekosten möglichst genau zu ermitteln. Massgebend für den TQV müssten also – wie auch Art. 65bbis Bst. b KVV entnommen werden könne – die tatsächlichen Therapiekosten sein. Die Fachinformationen stellten demnach nur ein zu diesem Zwecke einzusetzendes Hilfsmittel dar. Ob sie zur Bestimmung der TTK tauglich seien oder nicht, hänge entscheidend davon ab, wann darin enthaltene Dosierungsangaben als genügend prä- zise zu erachten seien. Klinische Realität und effektive Absatzzahlen bilde- ten eine verlässliche Grundlage zur sachgerechten Bestimmung der TTK, was die Vorinstanz in einem anderen Verfahren (Urteil des BVGer C-5976/2018 vom 15. April 2020 E. 7.6.4) auch so gehandhabt habe (BVGer-act. 19 Rz. 20 ff., 37 f.).</w:t>
      </w:r>
    </w:p>
    <w:p>
      <w:r>
        <w:t>C-424/2020 Seite 22</w:t>
      </w:r>
    </w:p>
    <w:p>
      <w:r>
        <w:rPr>
          <w:b/>
        </w:rPr>
        <w:t>E. 6.2.1</w:t>
      </w:r>
    </w:p>
    <w:p>
      <w:r>
        <w:t>Gemäss Art. 65d Abs. 3 KVV wird der TQV auf der Basis der kleinsten Packung und Dosierung durchgeführt, es sei denn, die kleinste Packung und Dosierung erlaube insbesondere aufgrund unterschiedlicher Dosierun- gen bei Therapiebeginn oder unterschiedlicher Packungsgrössen keinen adäquaten Vergleich (BVGE 2022 V/4 E 9.2.1; Urteil des BGer 9C_162/2023 vom 12. März 2024 E. 3.2.2). Der Grund dafür liegt darin, dass grössere Packungen und höhere Dosisstärken Preiseinschläge ent- 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 near teurer als die tieferen Dosisstärken und kleineren Packungsgrössen, sondern günstiger und bilden daher die Wirtschaftlichkeit nicht korrekt ab (Urteil des BGer 9C_401/2020 vom 5. März 2021 E. 4.1; BVGE 2022 V/4 E. 9.2.1). Es gilt der Grundsatz, dass im Rahmen des TQV, damit er eine verlässliche Basis für die Beurteilung der Wirtschaftlichkeit eines Arzneimittels bilden kann, Präparate in möglichst identischer Darreichungsform, Packungs- grösse und Dosierungsempfehlung gegenüberzustellen sind. Dadurch soll eine optimale Vergleichbarkeit der in Frage stehenden Medikamente ge- währleistet werden. Mit Blick auf dieses vom Verordnungsgeber verfolgte Ziel der Sicherstellung bestmöglicher Vergleichsbedingungen erscheint es sachgerecht, dass der TQV, wenn immer möglich, mit Arzneimitteln sowohl in derselben (kleinsten) Packungsgrösse als auch derselben (niedrigsten) Dosisstärke durchgeführt wird. Letzteres vor allem auch vor dem Hinter- grund, dass die Grösse der Packungen ebenfalls einen nicht unerheblichen Einfluss auf die Preisrelationen des fraglichen Präparats hat (vgl. Richtli- nien betreffend Preisrelationen gemäss Anhang 5a des SL-Handbuchs). Als anerkannter Grund, um vom Prinzip des auf der Basis der kleinsten in der SL aufgeführten Packung und Dosierung vorzunehmenden TQV abzu- weichen, gelten insbesondere folgende (nicht abschliessende) Ausnahme- tatbestände (Ziff. E.1.9 SL-Handbuch; zum Ganzen Urteil 9C_162/2023 E. 5.2 mit Hinweis; BVGE 2022 V/4 E. 9.2.1 f.): – Die kleinste Packung und Dosierung wird bei einem der im TQV berück- sichtigten Arzneimittel nur bei Therapiebeginn (Dosiseinstellung bzw. Auf- titrierung) verwendet.</w:t>
      </w:r>
    </w:p>
    <w:p>
      <w:r>
        <w:t>C-424/2020 Seite 23 – Die kleinste Dosierung dient lediglich zu einer in der Fachinformation defi- nierten Dosisreduktion zur Vermeidung von unerwünschten Wirkungen oder zur Behandlung spezifischer Patientengruppen mit Komorbiditäten. – Ein Vergleichspräparat wird in keiner Kleinpackung angeboten. Mit dem «insbesondere» sowie der bloss beispielhaften Aufzählung im SL- Handbuch (Version 2017) wird klar, dass es weitere Fälle geben kann, bei denen ein adäquater Vergleich der Kosten pro Tag oder Kur mit der vorge- sehenen Regellösung nicht möglich ist. Der Vorinstanz kommt damit in Be- zug auf die Bestimmung weiterer Ausnahmen Ermessen zu (Urteil 9C_162/2023 E. 5.2; Urteil C-5976/2018 E. 8.3.1).</w:t>
      </w:r>
    </w:p>
    <w:p>
      <w:r>
        <w:rPr>
          <w:b/>
        </w:rPr>
        <w:t>E. 6.2.2</w:t>
      </w:r>
    </w:p>
    <w:p>
      <w:r>
        <w:t>Laut Art. 65b Abs. 4bis Bst. b KVV werden beim TQV die Kosten des Arzneimittels pro Tag oder pro Kur im Verhältnis zu den Kosten von Arznei- mitteln, die zur Behandlung derselben Krankheit eingesetzt werden, über- prüft. Vorliegend sind die Kosten pro Tag massgebend. Der TQV hat somit anhand der durchschnittlichen TTK der mittleren Erhaltungsdosen der zu vergleichenden Medikamente zu erfolgen (BGE 147 V 470 E. 4.1). Ein Arzneimittel darf nur in den Grenzen der von Swissmedic zugelassenen Indikationen und Anwendungsvorschriften in die Spezialitätenliste aufge- nommen werden. Daher hat sich die Vorinstanz an den Wortlaut der Fachinformation zu halten (vgl. BGE 147 V 194 E. 5.3.1 mit Hinweis auf BGE 143 V 369 E. 6). Die in den Arzneimittelinformationen enthaltenen In- dikations- und Diagnoseformulierungen respektive Anwendungsvorschrif- ten widerspiegeln die jeweils gegenwärtigen medizinischen Kenntnisse. Es rechtfertigt sich, die Arzneimittel- bzw. Fachinformationen, soweit aussage- kräftig, auch für die Frage nach der mittleren Erhaltungsdosierung eines Arzneimittels heranzuziehen. Dies gewährleistet namentlich, dass die zu berücksichtigenden Dosierungen respektive deren zu vergleichenden Mit- telwerte («mittlere Erhaltungsdosis») in transparenter sowie rechtsgleicher Art bestimmt werden (vgl. BGE 147 V 470 E. 4.2.2). Nach der jüngeren bundesgerichtlichen Rechtsprechung (BGE 147 V 470 E. 4.2.3 mit Hinweisen) ist im Einzelnen wie folgt vorzugehen: Können den Fachinformationen genaue Dosierungsvorschriften entnommen werden, anhand derer sich die TTK berechnen lassen, sind diese zu verwenden. Dabei ist zu beachten, dass bei der Berechnung des TQV grundsätzlich den unterschiedlichen Anwendungsvorschriften gemäss Fachinformation Rechnung zu tragen ist und die verschiedenen, von Swissmedic überprüf- ten und genehmigten Dosierungsangaben zu berücksichtigen sind.</w:t>
      </w:r>
    </w:p>
    <w:p>
      <w:r>
        <w:t>C-424/2020 Seite 24 Hinsichtlich derjenigen Arzneimittel, für die in den Fachinformationen keine genauen Dosierungsvorschriften vorhanden sind, kann die Bestimmung der Tagesdosis lediglich approximativ erfolgen. Allerdings hat dies im Rah- men der Untersuchungspflicht (Art. 12 VwVG) ebenfalls auf sachgerechte und nachvollziehbare Weise zu geschehen (BGE 147 V 470 E. 4.2.3; Ur- teile des BVGer C-271/2021 vom 5. Februar 2024 E. 9.3.3, C-4596/2020 vom 1. November 2023 E. 8.2.3; je mit Hinweisen). Massgebend ist, dass die jeweiligen Dosierungen für sämtliche in den TQV einzubeziehenden Arzneimittel nach denselben Bedingungen festgelegt werden.</w:t>
      </w:r>
    </w:p>
    <w:p>
      <w:r>
        <w:rPr>
          <w:b/>
        </w:rPr>
        <w:t>E. 6.2.3</w:t>
      </w:r>
    </w:p>
    <w:p>
      <w:r>
        <w:t>Daraus ergibt sich folgende Abfolge (auch Kaskade oder Kaskaden- modell genannt) zur Festlegung der durchschnittlichen TTK: Enthält die Fachinformation mit Blick auf die durchschnittliche Erhaltungsdosis eine klare Aussage zur empfohlenen oder üblichen Dosierung, ist diese dem TQV zugrunde zu legen. Fehlt es an derartigen präzisen Angaben, ist grundsätzlich die gesamte in der Fachinformation aufgeführte Dosis- spanne zu beachten, wobei deren Mittelwert heranzuziehen ist. Die Dosis- spanne bildet jedoch dann keine hinreichende Grundlage, wenn beispiels- weise direkte Vergleichsstudien vorliegen, welche sachdienliche Informati- onen zur empfohlenen oder üblichen Erhaltungsdosis beinhalten; diesfalls ist darauf abzustellen. Ergeben sich aus der Fachinformation keinerlei Aus- künfte zur durchschnittlichen Erhaltungsdosis – auch nicht in Form von Do- sisspannen –, können Äquivalenzdosen aus Leitlinien, klinischen Studien, ausländischen Zulassungsunterlagen etc. beigezogen werden (BGE 147 V 470 E. 4.2.3; Urteil 9C_162/2023 E. 5.3.2; vgl. hierzu Rundschreiben des BAG «Umsetzung der Überprüfung der Aufnahmebedingungen alle drei Jahre im Jahr 2019» vom 6. Dezember 2018 [BVGer-act. 1 Beilage 5]). Das Bundesverwaltungsgericht hat die Prüfung nach dem «Kaskadenmo- dell» wie folgt konkretisiert (vgl. Urteil des BVGer C-5620/2020 vom 22. Dezember 2022 E. 5.3.2.3 mit Hinweisen): Der TQV ist für das zu über- prüfende Arzneimittel auf der Basis der jeweils gemäss Fachinformation empfohlenen Anfangs- respektive Erhaltungsdosierung als massgebliche «übliche Dosis» vorzunehmen, sofern und soweit entsprechende Angaben vorhanden sind (vgl. BGE 147 V 470 E. 5.3). Entsprechend den bundes- gerichtlichen Erwägungen wird unterschieden zwischen Regeldosen (emp- fohlene respektive übliche Dosis) und Ausnahmedosen (nicht mehr übliche Dosis), wobei für die Bestimmung der durchschnittlichen TTK lediglich die Regeldosen respektive die üblichen, empfohlenen Dosen zu berücksichti- gen sind (Urteil des BVGer C-5618/2020 vom 30. August 2022 E. 7.5, vgl. bereits Urteil des BVGer C-6083/2018, C-6090/2018 vom 9. Juli 2020</w:t>
      </w:r>
    </w:p>
    <w:p>
      <w:r>
        <w:t>C-424/2020 Seite 25 E. 7.3.4). Ergibt sich gemäss Fachinformation eine empfohlene Anfangs- respektive Erhaltungsdosis, bleibt kein Raum für das Heranziehen des je- weiligen Mittelwerts der Dosisspanne (vgl. BGE 147 V 470 E. 5.3). Bein- haltet die Fachinformation als Regeldosis eine Dosisspanne ohne präzise Angaben zur empfohlenen Anfangs- respektive Erhaltungsdosis, ergibt sich die übliche Dosis aus dem Mittelwert dieser Dosisspanne, sofern bei- spielsweise keine direkten Vergleichsstudien vorliegen, welche sachdienli- che Informationen zur empfohlenen oder üblichen Dosis beinhalten, auf welche diesfalls abzustellen wäre (vgl. BGE 147 V 470 E. 4.2.3).</w:t>
      </w:r>
    </w:p>
    <w:p>
      <w:r>
        <w:rPr>
          <w:b/>
        </w:rPr>
        <w:t>E. 6.3</w:t>
      </w:r>
    </w:p>
    <w:p>
      <w:r>
        <w:t>Im Folgenden ist zu prüfen, ob sich aus den Fachinformationen für das zu überprüfende Arzneimittel B._______ sowie für die Vergleichsarzneimit- tel G._______ und H._______ jeweils eine Regeldosis im Sinne der dar- gestellten Rechtsprechung ermitteln lässt. Dabei sind die Fachinformatio- nen auszulegen bzw. auszudeuten (Urteile C-5620/2020 E. 5.4.1, C- 5618/2020 E. 7.7.2).</w:t>
      </w:r>
    </w:p>
    <w:p>
      <w:r>
        <w:rPr>
          <w:b/>
        </w:rPr>
        <w:t>E. 6.3.1</w:t>
      </w:r>
    </w:p>
    <w:p>
      <w:r>
        <w:t>Die Fachinformation von B._______ erwähnt zu Beginn unter dem Abschnitt «Galenische Form und Wirkstoffmenge pro Einheit» drei Filmtab- letten folgender Dosisstärken: B._______ x mg/y mg, B._______ x mg/2y mg und B._______ 2x mg/2y mg. Zu «Dosierung/Anwendung» äussert sich die Fachinformation wie folgt (BVGer-act. 1 Beilage 3): [Zitat aus der Fachinformation] Gemäss der Vorinstanz enthalte die Fachinformation keine von der gesam- ten Dosisspanne abweichende (übliche) Erhaltungsdosisspanne, weshalb auf die gesamte Dosisspanne abzustellen sei, namentlich handle es sich bei der Maximaldosierung (2 Filmtabletten x mg/2y mg pro Tag) nicht um eine für die Bestimmung der durchschnittlichen TTK unbeachtliche Aus- nahmedosierung (BVGer-act. 13 Rz. 25 f.). In der Fachinformation wird die Dosierung von zwei Filmtabletten x mg/2y mg pro Tag mehrfach als «maximal» respektive «Maximum» oder «Maximaldosis» bezeichnet. Die Maximaldosis wird bei der Initialtherapie bei ungenügendem Ansprechen auf eine niedrigere Dosierung empfohlen («[Zitat aus der Fachinformation]»). Dabei hebt die Fachinformation die be- schränkte Anwendung für die Maximaldosierung besonders hervor: «[Zitat aus der Fachinformation]». Der Wortlaut der Fachinformation legt mit der ausdrücklichen und besonders hervorgehobenen Beschränkung der</w:t>
      </w:r>
    </w:p>
    <w:p>
      <w:r>
        <w:t>C-424/2020 Seite 26 Maximaldosierung auf eine bestimmte Patientengruppe zumindest nahe, dass es sich dabei um eine Ausnahmedosierung und nicht um eine ge- wöhnliche oder übliche Dosierung handeln könnte. Die verschiedenen Versionen der Fachinformationen bekräftigen dies (BVGer-act. 1 Beilagen 24, 25): Die Maximaldosierung (zwei Filmtabletten à x mg/2y mg pro Tag) wurde zusammen mit der Initialtherapie in die Fachinformation aufgenommen (Revision von 2012/2013). Die Beschwer- deführerin erwähnte die Maximaldosierung zunächst einzig bei der Initial- therapie, nicht aber bei der «empfohlenen Dosis». Dies wurde im Laufe der Revision zwar geändert, allerdings unter Beifügung der erwähnten Be- schränkung: «[Zitat aus der Fachinformation]». Im Weiteren zeigt sich der Ausnahmecharakter der Maximaldosierung auch in der klinischen Praxis: Die Beschwerdeführerin weist zu Recht da- rauf hin, dass die Maximaldosierung in der klinischen Praxis kaum ver- schrieben wird (vgl. die Erhebung der Berufsgenossenschaft der Schwei- zer Apotheker für den Zeitraum August 2018 bis November 2019 [BVGer- act. 1 Beilage 26]). Zudem sind Filmtabletten mit der Dosierung 2x mg/4y mg auf dem Schweizer Markt nicht erhältlich (vgl. Urteil C- 5620/2020 E. 5.4.1). Mit Blick auf die Formulierung in der Fachinformation, ihren verschiedenen Versionen und die klinische Praxis erscheint es vorliegend weder sachge- recht noch nachvollziehbar, dass die Vorinstanz von einer klaren Dosie- rungsvorschrift unter Einschluss der Maximaldosierung ausgegangen ist (BVGer-act. 13 Rz. 28). Bei Fehlen einer klaren Dosierungsvorschrift hat die Bestimmung der durchschnittlichen TTK approximativ zu erfolgen, wo- bei die getroffenen Annahmen praxisnah sein müssen (E. 6.2.3 vorste- hend; vgl. bereits Urteile C-6083/2018, C-6090/2018 E. 7.3.4, C-595/2015 E. 8.4). Dies führt angesichts der dargelegten Umstände vorliegend dazu, dass die Maximaldosierung nicht in die Ermittlung der durchschnittlichen TTK einzubeziehen ist. Die übliche Dosierung von B._______ beträgt demnach eine Tablette pro Tag in den Dosisstärken x mg/y mg, x mg/2y mg und 2x mg/2y mg. Die mittlere Erhaltungsdosis beträgt 1.5x mg/1.5y mg (arithmetisches Mittel von x mg/y mg und 2x mg/2y mg).</w:t>
      </w:r>
    </w:p>
    <w:p>
      <w:r>
        <w:t>C-424/2020 Seite 27</w:t>
      </w:r>
    </w:p>
    <w:p>
      <w:r>
        <w:rPr>
          <w:b/>
        </w:rPr>
        <w:t>E. 6.3.2</w:t>
      </w:r>
    </w:p>
    <w:p>
      <w:r>
        <w:t>Das Arzneimittel G._______ ist gemäss Fachinformation als Tablette mit den Dosisstärken (…), (…) und (…) erhältlich. Zur Dosierung äussert sich die Fachinformation wie folgt (BVGer-act. 1 Beilage 9). [Zitat aus der Fachinformation] Die Fachinformation ist klar gefasst: «[Zitat aus der Fachinformation]». Da- bei ist G._______ in Tabletten mit den Dosisstärken (…), (…) und (…) er- hältlich, wobei die Fachinformation die Anwendung der verschiedenen Do- sisstärken klar festlegt, ohne dass aus der Fachinformation oder anderwei- tigen sachdienlichen Quellen eine Unterscheidung von Regel- und Ausnah- medosis ersichtlich wäre. Vielmehr ist von einer «ordentlichen» Dosis- spanne auszugehen, innerhalb welcher eine gewisse Flexibilität besteht (vgl. Urteile des BVGer C-5618/2020 vom 30. August 2022 E. 7.2.2, C- 923/2020 vom 24. Mai 2023 E. 8.5). Es ist daher sachgerecht und nach- vollziehbar, dass die Vorinstanz bei der Ermittlung der durchschnittlichen TTK sämtliche Dosisstärken berücksichtigt hat, was im Übrigen auch der Auffassung der Beschwerdeführerin entspricht (BVGer-act. 1 Rz. 76). Die übliche Dosierung von G._______ beträgt demnach eine Tablette pro Tag in den Dosisstärken (…) und (…). Die mittlere Erhaltungsdosis beträgt (…) (arithmetisches Mittel von […] und […]).</w:t>
      </w:r>
    </w:p>
    <w:p>
      <w:r>
        <w:rPr>
          <w:b/>
        </w:rPr>
        <w:t>E. 6.3.3</w:t>
      </w:r>
    </w:p>
    <w:p>
      <w:r>
        <w:t>Das Arzneimittel H._______ ist als Tablette zu (…), (…) und (…) er- hältlich. Zur Dosierung äussert sich die Fachinformation wie folgt (BVGer- act. 1 Beilage 10): [Zitat aus der Fachinformation] Die Fachinformation ist – wie beim Vergleichsarzneimittel G._______ – klar gefasst: «[Zitat aus der Fachinformation]». Dabei ist H._______ in Tablet- ten mit den Dosisstärken (…), (…) und (…) erhältlich. Bei der Anwendung «Initialtherapie» erfolgt eine Abstufung der Dosierung je nach Ansprechen der Patientinnen und Patienten, wobei «[Zitat aus der Fachinformation]» kann. Gemäss der Beschwerdeführerin soll es sich bei der Dosisstärk (…) nicht um eine empfohlene bzw. übliche Dosis handeln (BVGer-act. 1 Rz. 76). Die Vorinstanz hat dagegen sämtliche Dosisstärken bei der Ermittlung der durchschnittlichen TTK berücksichtigt. Dies erscheint unter Beachtung des diesbezüglichen Ermessensspielraums der Vorinstanz sachgerecht und nachvollziehbar: Zunächst lässt die Umschreibung bei der Initialtherapie</w:t>
      </w:r>
    </w:p>
    <w:p>
      <w:r>
        <w:t>C-424/2020 Seite 28 keine klaren Rückschlüsse auf eine Regel- oder Ausnahmedosis respek- tive auf die empfohlene oder übliche Dosierung zu. Ins Gewicht fällt weiter, dass bei der «empfohlenen Dosis» sowie bei den anderen Anwendungen (Ersatztherapie, Zusatztherapie) Anhaltspunkte fehlen, dass die Dosis (…) pro Tag Ausnahmecharakter hätte. Auch sind Tabletten sämtlicher Dosis- stärken in der Schweiz verfügbar. Damit durfte die Vorinstanz bei der emp- fohlenen Dosis von «eine[r] Tablette pro Tag» sämtliche Dosisstärken be- rücksichtigen und von einer «ordentlichen» Dosisspanne ausgehen, inner- halb welcher eine gewisse Flexibilität besteht (vgl. Urteile C-5618/2020 E. 7.2.2, C-923/2020 E. 8.5). Die übliche Dosierung von H._______ beträgt demnach eine Tablette pro Tag in den Dosisstärken (…) und (…). Die mittlere Erhaltungsdosis beträgt (…) (arithmetisches Mittel von […] und […]).</w:t>
      </w:r>
    </w:p>
    <w:p>
      <w:r>
        <w:rPr>
          <w:b/>
        </w:rPr>
        <w:t>E. 6.4</w:t>
      </w:r>
    </w:p>
    <w:p>
      <w:r>
        <w:t>In einem nächsten Schritt sind die durchschnittlichen TTK und der TQV- Preis von B._______ x mg/y mg z Stück zu bestimmen.</w:t>
      </w:r>
    </w:p>
    <w:p>
      <w:r>
        <w:rPr>
          <w:b/>
        </w:rPr>
        <w:t>E. 6.4.1</w:t>
      </w:r>
    </w:p>
    <w:p>
      <w:r>
        <w:t>Die Vorinstanz beabsichtigt, für alle kombinierten E._______ die für den TQV berücksichtigte Dosisstärke bzw. Dosierung nach einer einheitli- chen Regelung festzulegen. Dabei würden bei einer Erhaltungsdo- sisspanne, welche mehrere Dosisstärken des Hauptwirkstoffs berücksich- tige, jeweils nur die tiefste und höchste mögliche Dosierung des Hauptwirk- stoffs in Kombination mit der tiefsten Dosierung des Nebenwirkstoffes ein- bezogen (vgl. näher E. 6 vorstehend). Die Beschwerdeführerin vertritt vor Bundesverwaltungsgericht die Auffas- sung, die TTK seien sach- bzw. realitätsgerecht und nachvollziehbar zu bestimmen. Für einen aussagekräftigen Vergleich seien sämtliche üblichen bzw. empfohlenen Dosierungen der verschiedenen Arzneimittel (in den je- weils kleinsten Packungen) einzubeziehen. Namentlich bestehe kein Grund, für einen Nebenwirkstoff nur die niedrigste Dosierung zu berück- sichtigen (BVGer-act. 1 Rz. 65 ff.).</w:t>
      </w:r>
    </w:p>
    <w:p>
      <w:r>
        <w:rPr>
          <w:b/>
        </w:rPr>
        <w:t>E. 6.4.2</w:t>
      </w:r>
    </w:p>
    <w:p>
      <w:r>
        <w:t>Weder auf Gesetzes- noch auf Verordnungsstufe finden sich Bestim- mungen, die sich mit dem TQV bei Kombinationspräparaten auseinander- setzen. Das SL-Handbuch (Version 2017) enthält zwar Hinweise zum TQV bei Kombinationspräparaten (Ziff. C.8), nicht aber zur Berechnungsme- thode der TTK bei Kombinationspräparaten. Der Vorinstanz als Fachbe- hörde kommt ein erheblicher Beurteilungsspielraum zu. Dabei hat sich ihr Vorgehen am Zweck der in Art. 65d Abs. 3 KVV festgelegten Regelung zu</w:t>
      </w:r>
    </w:p>
    <w:p>
      <w:r>
        <w:t>C-424/2020 Seite 29 orientieren, der darin liegt, eine möglichst optimale Vergleichbarkeit der in- frage stehenden Arzneimittel zu gewährleisten (Urteil des BVGer C- 6260/2020 vom 8. August 2023 E. 6.1.4). Mit Blick auf diese Zwecksetzung erscheint es nach der Rechtsprechung sachgerecht, dass der TQV, wenn immer möglich, mit Arzneimitteln sowohl in derselben (kleinsten) Pa- ckungsgrösse als auch derselben (niedrigsten) Dosisstärke durchgeführt wird (vgl. den Wortlaut von Art. 65d Abs. 3 KVV; E. 6.2.1 vorstehend).</w:t>
      </w:r>
    </w:p>
    <w:p>
      <w:r>
        <w:rPr>
          <w:b/>
        </w:rPr>
        <w:t>E. 6.4.3</w:t>
      </w:r>
    </w:p>
    <w:p>
      <w:r>
        <w:t>Vorliegend lässt sich der TQV nach den Grundsätzen von Art. 65d Abs. 3 KVV durchführen. Die Vorinstanz erwähnt zwar allgemein, dass die gesetzlich vorgesehene Berechnungsmethode (Berücksichtigung der kleinsten Packung mit tiefster Dosierung und Vervielfachung dieser Dosie- rung zur Berechnung der Erhaltungsdosis) bei Kombinationspräparaten aufgrund unterschiedlicher Umrechnungsfaktoren von Haupt- und Neben- wirkstoff nicht durchführbar sein könne (z.B. Arzneimittel mit niedrigster Do- sisstärke von […] mg und mittlerer empfohlener Erhaltungsdosis von […] mg, woraus für den Nebenwirkstoff ein Umrechnungsfaktor von 1.5 […] und für den Hauptwirkstoff von 1 […] resultiere). Vorliegend stimmen aber bei allen drei Arzneimitteln die Umrechnungsfaktoren für Haupt- und Ne- benwirkstoff jeweils überein (siehe die Tabelle in E. 6.4.4, Spalten 2 und 5), weshalb sich Weiterungen zu allfälligen Ausnahmen von den Grundsätzen nach Art. 65d Abs. 3 KVV erübrigen. Es wäre jedenfalls darauf zu achten, dass der TQV anhand der durchschnittlichen TTK der mittleren Erhaltungs- dosen der zu vergleichenden Arzneimittel erfolgt (BGE 147 V 470 E. 4.1). Im Übrigen äussert sich die Vorinstanz im Rundschreiben «Überprüfung der Aufnahmebedingen alle drei Jahre im Jahr 2025» vom 6. Dezember 2024 – anders als in den Vorjahren – ausdrücklich zur Berechnungsme- thode bei Kombinationspräparaten und folgt dabei den Grundsätzen von Art. 65d Abs. 3 KVV (S. 11 des Rundschreibens).</w:t>
      </w:r>
    </w:p>
    <w:p>
      <w:r>
        <w:rPr>
          <w:b/>
        </w:rPr>
        <w:t>E. 6.4.4</w:t>
      </w:r>
    </w:p>
    <w:p>
      <w:r>
        <w:t>In Anwendung der gesetzlich vorgesehenen Berechnungsmethode und unter Berücksichtigung der Dosisstärken gemäss den Angaben in den Fachinformationen (E. 6.3 vorstehend) ergibt sich für B._______ x mg/y mg zu z Stück ein TQV-Niveau von Fr. (…) und ein TQV-Preis von Fr. (…). Es resultiert ein TQV-Senkungssatz von –(…) % (= 1 - [FAPneu / FAPaktuell] = 1 - [(…) / (…)]). [Tabelle zu Packungen und Preisen]</w:t>
      </w:r>
    </w:p>
    <w:p>
      <w:r>
        <w:t>C-424/2020 Seite 30</w:t>
      </w:r>
    </w:p>
    <w:p>
      <w:r>
        <w:rPr>
          <w:b/>
        </w:rPr>
        <w:t>E. 7.1</w:t>
      </w:r>
    </w:p>
    <w:p>
      <w:r>
        <w:t>Gestützt auf die Erwägungen zum APV (E. 5 vorstehend) und TQV (E. 6 vorstehend) lässt sich die Preissenkung bestimmen. Sie erfolgt in mehreren Schritten: Der erste Schritt stellt die Berechnung des APV mit der umsatzstärksten Packung dar (E. 7.1.1). In einem zweiten Schritt ist der TQV zu berechnen (E. 7.1.2). Als dritter Schritt erfolgt die hälftige Ge- wichtung von APV und TQV und die Festlegung des definitiven Senkungs- satzes in Prozent (E. 7.1.3). Schliesslich ist anhand des neuen FAP der neue PP zu berechnen (E. 7.2).</w:t>
      </w:r>
    </w:p>
    <w:p>
      <w:r>
        <w:rPr>
          <w:b/>
        </w:rPr>
        <w:t>E. 7.1.1</w:t>
      </w:r>
    </w:p>
    <w:p>
      <w:r>
        <w:t>Der aktuelle FAP der umsatzstärksten Packung in der Schweiz be- trägt Fr. (…), wohingegen der APV einen durchschnittlichen FAP in den Referenzländern von umgerechnet Fr. (…) ergibt. Es resultiert ein prozen- tualer Unterschied zwischen dem FAPAPV in der Schweiz und dem durch- schnittlichen FAPAPV der Referenzländer in Höhe von –(…) % (= 1 – [Fr. (…) / Fr. (…)]; vgl. E. 5.2.6 vorstehend).</w:t>
      </w:r>
    </w:p>
    <w:p>
      <w:r>
        <w:rPr>
          <w:b/>
        </w:rPr>
        <w:t>E. 7.1.2</w:t>
      </w:r>
    </w:p>
    <w:p>
      <w:r>
        <w:t>Der FAPTQV beträgt für die kleinste Packung (B._______ x mg/y mg zu z Stück) Fr. (…) (E. 6.4.4 vorstehend), während sich der aktuelle FAPTQV auf Fr. (…) beläuft. Daraus resultiert ein Senkungssatz von -(…) % (= 1 – [Fr. (…) / Fr. (…)]). Dieser TQV-Senkungssatz ist auf die um- satzstärkste Packung (B._______ x mg/2y mg 3.5 Stück) anzuwenden, de- ren FAP aktuell Fr. (…) beträgt (vgl. E. 5.2.6 vorstehend). Daraus ergibt sich ein Zwischenergebnis von (gerundet) Fr. (…) (= Fr. (…) – [Fr. (…)*(…)%]).</w:t>
      </w:r>
    </w:p>
    <w:p>
      <w:r>
        <w:rPr>
          <w:b/>
        </w:rPr>
        <w:t>E. 7.1.3</w:t>
      </w:r>
    </w:p>
    <w:p>
      <w:r>
        <w:t>Für die Berechnung des neuen FAP der umsatzstärksten Packung (B._______ x mg/2y mg 3.5z Stück) sind der APV und der TQV hälftig zu gewichten. Es resultiert ein Zwischenergebnis in Höhe von (gerundet) Fr. (…) (= [Fr. (…) + Fr. (…))] / 2). Anhand des aktuellen FAP der umsatz- stärksten Packung von Fr. (…) und des FAP aus der hälftigen Gewichtung von APV und TQV lässt sich der finale Senkungssatz in Prozent ermitteln: (FAPalt umsatzstärkste Packung - FAPneu umsatzstärkste Packung) / FAPalt umsatzstärkste Packung * 100 [Berechnung]</w:t>
      </w:r>
    </w:p>
    <w:p>
      <w:r>
        <w:t>C-424/2020 Seite 31</w:t>
      </w:r>
    </w:p>
    <w:p>
      <w:r>
        <w:rPr>
          <w:b/>
        </w:rPr>
        <w:t>E. 7.2.1</w:t>
      </w:r>
    </w:p>
    <w:p>
      <w:r>
        <w:t>Ausgehend vom finalen Senkungssatz in Höhe von –(…) % ergeben sich die neuen FAP aller Packungen von B._______: [Tabelle mit Packungen und Preisen]</w:t>
      </w:r>
    </w:p>
    <w:p>
      <w:r>
        <w:rPr>
          <w:b/>
        </w:rPr>
        <w:t>E. 7.2.2</w:t>
      </w:r>
    </w:p>
    <w:p>
      <w:r>
        <w:t>Anhand des neuen FAP lässt sich der neue PP berechnen, indem zum FAP ein Vertriebsanteil (Preiszuschlag und Packungszuschlag; Art. 67 Abs. 1quater Bst. a KVV) und 2.5 % Mehrwertsteuer (Art. 25 Abs. 2 Bst. a Ziff. 8 MWSTG [SR 641.20]) hinzugerechnet werden. Gemäss Art. 38 Abs. 1 KLV beträgt der preisbezogene Zuschlag für ver- schreibungspflichtige Arzneimittel bei einem FAP bis Fr. 879.99 12 % (Bst. a), ab Fr. 880.– bis Fr. 2'569.99 7 % (Bst. b) und ab Fr. 2'570.– 0 % (Bst. c). In Anwendung von Art. 38 Abs. 2 KLV entspricht der Zuschlag je Packung für verschreibungspflichtige Arzneimittel bei einem FAP bis Fr. 4.99: Fr. 4.– (Bst. a), ab Fr. 5.– bis Fr. 10.99: Fr. 8.– (Bst. b) und ab Fr. 11.– bis Fr. 14.99: Fr. 12.– (Bst. c), ab Fr. 15.– bis Fr. 879.99: Fr. 16.– (Bst. d), ab Fr. 880.– bis Fr. 2'569.99: Fr. 60.– (Bst. e) und ab Fr. 2'570.–: Fr. 240.– (Bst. f). Hieraus ergeben sich folgende PP per 1. Februar 2020 (ohne 5-Rappen- Rundung): [Tabelle mit Packungen und Preisen] Spätere gesetzliche Änderungen bleiben ausdrücklich vorbehalten, darun- ter namentlich eine Anpassung der PP infolge des geänderten Mehrwert- steuersatzes per 1. Januar 2024 (Art. 25 Abs. 2 Bst. a Ziff. 8 MWSTG [in der Version ab 1. Januar 2024]) und des geänderten Vertriebsanteils per 1. Juli 2024 (Art. 38 KLV [in der Version ab 1. Juli 2024]).</w:t>
      </w:r>
    </w:p>
    <w:p>
      <w:r>
        <w:rPr>
          <w:b/>
        </w:rPr>
        <w:t>E. 7.3</w:t>
      </w:r>
    </w:p>
    <w:p>
      <w:r>
        <w:t>Die Verfügung der Vorinstanz 5. Dezember 2019 wird entsprechend dahingehend angepasst, dass der PP per 1. Februar 2020 wie folgt festge- setzt wird (mit 5-Rappen-Rundung): [Tabelle mit Packungen und Preisen]</w:t>
      </w:r>
    </w:p>
    <w:p>
      <w:r>
        <w:t>C-424/2020 Seite 32</w:t>
      </w:r>
    </w:p>
    <w:p>
      <w:r>
        <w:rPr>
          <w:b/>
        </w:rPr>
        <w:t>E. 7.4</w:t>
      </w:r>
    </w:p>
    <w:p>
      <w:r>
        <w:t>Der vorliegenden Beschwerde kommt von Gesetzes wegen aufschie- bende Wirkung zu (Art. 55 Abs. 1 VwVG). Mit Eintritt der Rechtskraft des vorliegenden Beschwerdeentscheids wird die Preissenkung grundsätzlich rückwirkend per 1. Februar 2020 in Kraft treten. Die mit Zwischenverfügung vom 5. März 2020 angeordneten vorsorglichen Massnahmen fallen mit dem Entscheid in der Hauptsache dahin (BGE 136 V 131 E. 1.1.2). Über eine allfällige Rückerstattung von Mehreinnahmen hat das Bundesverwal- tungsgericht nicht zu entscheiden, vielmehr obliegt es der Vorinstanz, dannzumal in Anwendung von Art. 67a Abs. 2 Bst. a KVV und Art. 37e Abs. 1 Bst. b KLV darüber zu befinden (vgl. Hinweise hierzu im Urteil des BVGer C-589/2015 vom 2. Mai 2017 E. 6.5).</w:t>
      </w:r>
    </w:p>
    <w:p>
      <w:r>
        <w:rPr>
          <w:b/>
        </w:rPr>
        <w:t>E. 8</w:t>
      </w:r>
    </w:p>
    <w:p>
      <w:r>
        <w:t>Zu befinden bleibt über die Verfahrenskosten und eine allfällige Parteient- schädigung. Die Beschwerdeführerin dringt mit ihren Anträgen zu rund vier Fünfteln durch (vorinstanzlich festgesetzter PP Fr. (…), beantragter PP: Fr. (…) [Hauptantrag], zugesprochener PP: Fr. (…), jeweils für B._______ Filmtablette x mg/2y mg z Stück).</w:t>
      </w:r>
    </w:p>
    <w:p>
      <w:r>
        <w:rPr>
          <w:b/>
        </w:rPr>
        <w:t>E. 8.1</w:t>
      </w:r>
    </w:p>
    <w:p>
      <w:r>
        <w:t>Das Bundesverwaltungsgericht auferlegt gemäss Art. 63 Abs. 1 und Abs. 3 VwVG die Verfahrenskosten in der Regel der unterliegenden Partei. Mit Blick auf den Verfahrensausgang sind die auf Fr. 5'000.– festzuset- zende Verfahrenskosten der teilweise unterliegenden Beschwerdeführerin im Umfang von Fr. 1'000.– aufzuerlegen. Der geleistete Kostenvorschuss von Fr. 5'000.– ist zur Bezahlung des Anteils der Beschwerdeführerin an den Verfahrenskosten zu verwenden. Die Gerichtskasse ist anzuweisen, den Differenzbetrag von Fr. 4'000.– der Beschwerdeführerin nach Eintritt der Rechtskraft des vorliegenden Urteils zurückzuerstatten.</w:t>
      </w:r>
    </w:p>
    <w:p>
      <w:r>
        <w:rPr>
          <w:b/>
        </w:rPr>
        <w:t>E. 8.2</w:t>
      </w:r>
    </w:p>
    <w:p>
      <w:r>
        <w:t>Die teilweise obsiegende, anwaltlich vertretene Beschwerdeführerin hat gemäss Art. 64 Abs. 1 VwVG in Verbindung mit Art. 7 ff. des Regle- ments vom 21. Februar 2008 über die Kosten und Entschädigungen vor dem Bundesverwaltungsgericht (VGKE; SR 173.320.2) Anspruch auf eine Parteientschädigung zu Lasten der Vorinstanz. Da keine Kostennote ein- gereicht wurde, ist die Entschädigung aufgrund der Akten festzusetzen (vgl. Art. 14 Abs. 2 VGKE). Unter Berücksichtigung des Verfahrensaus- gangs, des gebotenen und aktenkundigen Aufwands, der Bedeutung der Streitsache und der Schwierigkeit des vorliegend zu beurteilenden Verfah- rens sowie in Anbetracht der in vergleichbaren Fällen gesprochenen Ent- schädigungen erscheint eine pauschale reduzierte Parteientschädigung von Fr. 4'800.– (inkl. Auslagen und Mehrwertsteuer) als angemessen. Die</w:t>
      </w:r>
    </w:p>
    <w:p>
      <w:r>
        <w:t>C-424/2020 Seite 33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