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C-4244/2019 vom 20. Juni 2019</w:t>
      </w:r>
    </w:p>
    <w:p>
      <w:r>
        <w:t>Bundesverwaltungsgericht, 2019-06-20, DE</w:t>
      </w:r>
    </w:p>
    <w:p>
      <w:r>
        <w:rPr>
          <w:b/>
        </w:rPr>
        <w:t xml:space="preserve">Quelle: </w:t>
      </w:r>
      <w:r>
        <w:t>https://mcp.opencaselaw.ch/entscheid/bvger_C-4244_2019_d20190620</w:t>
      </w:r>
    </w:p>
    <w:p>
      <w:r>
        <w:t>FR: TAF C-4244/2019 du 20 juin 2019</w:t>
      </w:r>
    </w:p>
    <w:p>
      <w:r>
        <w:t>IT: TAF C-4244/2019 del 20 giugno 2019</w:t>
      </w:r>
    </w:p>
    <w:p>
      <w:pPr>
        <w:pStyle w:val="Heading2"/>
      </w:pPr>
      <w:r>
        <w:t>Regeste</w:t>
      </w:r>
    </w:p>
    <w:p>
      <w:r>
        <w:t>Heilmittel (&amp;Uuml;briges) | Heilmittel (Übriges); Änderung der Abgabekategorie von C in B des Arzneimittels B._______; Verfügung vom 20. Juni 2019</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 Der geleistete Kostenvorschuss von Fr. 5'000.- wird nach Rechtskraft des vorliegenden Entscheides auf ein von der Beschwerdeführerin zu bezeichnendes Konto zurückerstattet.</w:t>
      </w:r>
    </w:p>
    <w:p>
      <w:r>
        <w:rPr>
          <w:b/>
        </w:rPr>
        <w:t>E. 3</w:t>
      </w:r>
    </w:p>
    <w:p>
      <w:r>
        <w:t>Dezember 2019 ergänzende Bemerkungen einreichte (BVGer-act. 12), dass aufgrund der eingereichten vorinstanzlichen Verfügung vom 1. Mai 2021 betreffend Übertragung der Zulassung (BVGer-act. 13/1) die A._______ AG als neue Zulassungsinhaberin des vorliegend strittigen Arz- neimittels gilt, dass die bisherige Beschwerdeführerin C._______ AG infolge Fusion in der D._______ AG aufging (BVGer-act. 14, 15), dass die D._______ AG mit Zwischenverfügung vom 29. Dezember 2022 aufgefordert wurde, sich zu ihrer Beteiligung im vorliegenden Verfahren bzw. zu einer allfälligen Übertragung der Verfahrensbeteiligung auf die A._______ AG – als neue Zulassungsinhaberin des streitgegenständlichen Präparates – zu äussern (BVGer-act. 16), dass die D._______ AG mit Eingabe vom 16. Januar 2023 mitteilte, ihre Verfahrensbeteiligung sei auf die A._______ AG zu übertragen, da diese nun die Zulassungsinhaberin des Produktes B._______ sei (BVGer- act. 17), dass die D._______ AG damit um Übertragung der Verfahrensbeteiligung auf die A._______ AG ersuchte,</w:t>
      </w:r>
    </w:p>
    <w:p>
      <w:r>
        <w:t>C-4244/2019 Seite 3 dass Rechtsanwalt Boris Kreit mit Schreiben vom 16. Januar 2023 an- zeigte, die A._______ AG habe ihn mit der Wahrung ihrer Interessen be- traut (BVGer-act. 18), und er die entsprechende Vollmacht nachreichte (BVGer-act. 20), dass der Vorinstanz mit Verfügung vom 27. Januar 2023 Gelegenheit ein- geräumt wurde, eine allfällige Stellungnahme zum Gesuch um Parteiwech- sel einzureichen (BVGer-act. 19), dass die Vorinstanz mit Eingabe vom 8. Februar 2023 mitteilte, sie habe gegen den besagten Parteiwechsel keine Einwände vorzubringen (BVGer- act. 21), dass der ersuchte Parteiwechsel zulässig ist (vgl. BVGE 2014/10 E. 3.1 m.w.H.), dass die A._______ AG, vertreten durch Rechtsanwalt Boris Kreit, mit Ver- fügung vom 27. Februar 2023 aufgefordert wurde mitzuteilen, ob sie den Eintritt in das vorliegende Beschwerdeverfahren erkläre (BVGer-act. 22), dass die A._______ AG mit Eingabe ihres Rechtsvertreters vom 30. März 2023 (Eingang: 31. März 2023) den Eintritt in das vorliegende Beschwer- deverfahren erklärte (BVGer-act. 23), dass die A._______ AG daher im vorliegenden Verfahren anstelle der D._______ AG als Beschwerdeführerin gilt, dass die Beschwerdeführerin mit schriftlicher Erklärung vom 14. Juni 2023 (Eingang: 15. Juni 2023) die Beschwerde vom 21. August 2019 zurückzog (BVGer-act. 27), dass das Beschwerdeverfahren folglich im einzelrichterlichen Verfahren als durch Rückzug gegenstandslos geworden abzuschreiben ist (Art. 23 Abs. 1 Bst. a VGG), dass die Verfahrenskosten in der Regel der unterliegenden Partei auferlegt werden (Art. 63 Abs. 1 VwVG), dass ein Rückzug der Beschwerde grundsätzlich als Unterliegen gilt (vgl. Urteil des BGer 2C_697/2018 vom 1. März 2019 E. 2.2; Urteil des BVGer C-5087/2020 vom 13. Januar 2021),</w:t>
      </w:r>
    </w:p>
    <w:p>
      <w:r>
        <w:t>C-4244/2019 Seite 4 dass die Verfahrenskosten ganz oder teilweise erlassen werden können, wenn ein Rechtsmittel ohne erheblichen Aufwand für das Gericht durch Rückzug erledigt wird (Art. 6 Bst. a des Reglements vom 21. Februar 2008 über die Kosten und Entschädigungen vor dem Bundesverwaltungsgericht [VGKE, SR 173.320.2]), dass folglich der Beschwerdeführerin keine Verfahrenskosten aufzuerle- gen sind, dass der geleistete Kostenvorschuss von Fr. 5'000.- nach Eintritt der Rechtskraft des vorliegenden Entscheides auf ein von der Beschwerdefüh- rerin zu bezeichnendes Konto zurückzuerstatten ist, dass auch der Vorinstanz keine Verfahrenskosten aufzuerlegen sind (Art. 63 Abs. 2 VwVG), dass der Beschwerdeführerin keine Parteientschädigung auszurichten ist (Art. 7 Abs. 1 e contrario VGKE), dass die Vorinstanz als Bundesbehörde unabhängig vom Verfahrensaus- gang ebenfalls keinen Anspruch auf Parteientschädigung hat (vgl. Art. 7 Abs. 3 VGKE).</w:t>
      </w:r>
    </w:p>
    <w:p>
      <w:r>
        <w:rPr>
          <w:b/>
        </w:rPr>
        <w:t>E. 4</w:t>
      </w:r>
    </w:p>
    <w:p>
      <w:r>
        <w:t>Dieser Entscheid geht an die Beschwerdeführerin, die Vorinstanz und das EDI. Die Einzelrichterin: Die Gerichtsschreiberin: Viktoria Helfenstein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