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C-4244/2010 vom 21. November 2012</w:t>
      </w:r>
    </w:p>
    <w:p>
      <w:r>
        <w:t>Bundesverwaltungsgericht, 2012-11-21, DE</w:t>
      </w:r>
    </w:p>
    <w:p>
      <w:r>
        <w:rPr>
          <w:b/>
        </w:rPr>
        <w:t xml:space="preserve">Quelle: </w:t>
      </w:r>
      <w:r>
        <w:t>https://mcp.opencaselaw.ch/entscheid/bvger_C-4244_2010</w:t>
      </w:r>
    </w:p>
    <w:p>
      <w:r>
        <w:t>FR: TAF C-4244/2010 du 21 novembre 2012</w:t>
      </w:r>
    </w:p>
    <w:p>
      <w:r>
        <w:t>IT: TAF C-4244/2010 del 21 novembre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traten die neuen gesetzlichen Bestimmungen des AuG und seine Ausführungsbestimmungen in Kraft - unter anderem das VZAE.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Beschwerdeführer ist zwar noch unter dem Geltungsbereich des Bundesgesetzes vom 26. März 1931 über Aufenthalt und Nieder­lassung der Ausländer (ANAG, BS 1 121) eine erstmalige Aufenthalts­bewilligung erteilt worden, das vorliegende Verfahren bezieht sich jedoch auf das Verlängerungsgesuch vom 15. April 2009, womit die Bestimmungen des AuG zur Anwendung gelangen.</w:t>
      </w:r>
    </w:p>
    <w:p>
      <w:r>
        <w:rPr>
          <w:b/>
        </w:rPr>
        <w:t>E. 4</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16. Juli 2012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5</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gedauert hat und eine erfolg­reiche Integration besteht (Art. 50 Abs. 1 Bst. a AuG) oder wenn wichtige persönliche Gründe einen weiteren Aufenthalt in der Schweiz erforderlich machen (Art.50 Abs. 1 Bst. b AuG).</w:t>
      </w:r>
    </w:p>
    <w:p>
      <w:r>
        <w:rPr>
          <w:b/>
        </w:rPr>
        <w:t>E. 6</w:t>
      </w:r>
    </w:p>
    <w:p>
      <w:r>
        <w:t>Das Zivilgericht U._______ als Einzelgericht in Familiensachen hielt in der Verfügung vom 24. Juni 2008 fest, dass der Beschwerdeführer die eheliche Wohnung bereits verlassen hatte. Die Haushaltgemeinschaft wurde in der Folge nicht wieder aufgenommen. Die eheliche Gemeinschaft dauerte somit lediglich etwas mehr als zwei Jahre. Diese Feststellung wurde vom Beschwerdeführer sodann auch nicht bestritten, weshalb die Frage über das Bestehen wichtiger Gründe für das Getrenntleben nach Art. 49 AuG obsolet wird (vgl. Urteil des Bundesgerichts 2C_759/2010 vom 28. Januar 2011 E. 4.2 mit Hinweisen). Damit steht fest, dass die eheliche Gemeinschaft weniger als drei Jahre gedauert hat, so dass der Beschwerdeführer aus Art. 50 Abs. 1 Bst. a AuG keine Ansprüche ableiten kann (zur strikten Massgabe der Dreijahresfrist von Art. 50 Abs. 1 Bst. a AuG vgl. BGE 137 II 345 E. 3.1.3 S. 347 f.).</w:t>
      </w:r>
    </w:p>
    <w:p>
      <w:r>
        <w:rPr>
          <w:b/>
        </w:rPr>
        <w:t>E. 7</w:t>
      </w:r>
    </w:p>
    <w:p>
      <w:r>
        <w:t>Es stellt sich weiter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 Gründe können sich auch daraus ergeben, dass der in der Schweiz lebende Ehepartner gestorben ist oder gemein­same Kinder vorhanden sind (vgl. Marc Spescha in: Spescha/Thür/Zünd/Bolzli, Kommentar Migrationsrecht, Zürich 2012, Art. 50 AuG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137 II 345 E. 3.2 S. 348 f. mit weiteren Hinweisen).</w:t>
      </w:r>
    </w:p>
    <w:p>
      <w:r>
        <w:rPr>
          <w:b/>
        </w:rPr>
        <w:t>E. 8</w:t>
      </w:r>
    </w:p>
    <w:p>
      <w:r>
        <w:t>Im Falle des Beschwerdeführers fällt in Betracht, dass er Vater eines Kindes ist, das die schweizerische Staatsangehörigkeit besitzt. Aufgrund dessen macht er geltend, gestützt auf Art. 8 Abs. 1 EMRK bzw. Art. 13 Abs. 1 der Bundesverfassung der Schweizerischen Eidgenossenschaft vom 18. Dezember 1998 (BV; SR 101) einen Anspruch auf Verlängerung der Aufenthaltsbewilligung zu haben.</w:t>
      </w:r>
    </w:p>
    <w:p>
      <w:r>
        <w:rPr>
          <w:b/>
        </w:rPr>
        <w:t>E. 8.1</w:t>
      </w:r>
    </w:p>
    <w:p>
      <w:r>
        <w:t>Art. 8 Abs. 1 EMRK und der - soweit hier von Interesse - inhaltlich im Wesentlichen übereinstimmende Art. 13 Abs. 1 BV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8.2</w:t>
      </w:r>
    </w:p>
    <w:p>
      <w:r>
        <w:t>Bei dieser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S. 250). Der nicht sorge- bzw. obhutsberechtigte Elternteil kann die familiäre Beziehung hingegen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Beziehung wegen der Distanz zum Heimatland des Ausländers praktisch nicht mehr aufrecht erhalten werden könnte und das bisherige Verhalten des Betroffenen in der Schweiz zu keinerlei Klagen Anlass gegeben hat (vgl. BGE 120 Ib 1 E. 3c S. 5 f. und BGE 120 Ib 22 E. 4a/b S. 24 f. sowie Urteil des Bundesgerichts 2C_805/2011 vom 16. Februar 2012 E. 3.2). Die besondere gefühlsmässige Intensität der Beziehung kann in der Regel nur dann bejaht werden, wenn ein grosszügig ausgestaltetes Besuchsrecht eingeräumt ist und dieses kontinuierlich, spontan und reibungslos ausgeübt wird (Urteil des Bundesgerichts 2C_145/2012 vom 16. Juli 2012 E. 2.3.1).</w:t>
      </w:r>
    </w:p>
    <w:p>
      <w:r>
        <w:rPr>
          <w:b/>
        </w:rPr>
        <w:t>E. 8.3</w:t>
      </w:r>
    </w:p>
    <w:p>
      <w:r>
        <w:t>Der Beschwerdeführer wendet ein, der Kontakt zu seinem Kind sei enger als in der Darstellung der Vorinstanz. Entsprechend habe diese den Sachverhalt unvollständig abgeklärt. Aufgrund von Differenzen zwischen den Ehegatten konnte das Besuchsrecht zunächst nicht einvernehmlich geregelt werden. Deshalb stützte sich das BFM vordergründig auf die Angaben des Beschwerdeführers und gelangte zum Schluss, dass wohl ein gewisser Kontakt bestehe, die Intensität und Regelmässigkeit dieses Kontakts jedoch ungenügend sei. Grundsätzlich verbrachte der Beschwerdeführer jeweils am Samstag während rund acht Stunden Zeit mit seinem Sohn. Jedoch verweigerte die Kindsmutter den Kontakt regelmässig. In neuerer Zeit läuft die gleichlautende Besuchsregelung reibungslos ab. Der Beschwerdeführer wird manchmal von der Kindsmutter zu Familienanlässen eingeladen oder er passt ab und zu auf seinen Sohn auf, wenn sie abwesend ist. Die zu Beginn ablehnende Haltung der Kindsmutter, welche den Kontakt zwischen dem Beschwerdeführer und seinem Sohn erschwerte, hat sich zwischenzeitlich gebessert, sodass das Besuchsrecht regelmässig und ungestört wahrgenommen werden kann. Die H._______ bestätigte in ihrem Bericht vom 13. Oktober 2010 sodann, dass sich die Vater-Sohn-Beziehung stabilisiere, und dass - gemäss subjektiver Einschätzung - das Kind eine wichtige emotionale Bindung zu seinem Vater habe. Aktenkundig ist zudem ein Unterhaltsbeitrag von zunächst Fr. 500.-. Später wurde der Betrag auf Fr. 700.- (exkl. Kinderzulage) erhöht. Vor diesem Hintergrund ist nicht in Abrede zu stellen, dass zwischen Vater und Sohn - insbesondere in letzter Zeit eine intakte und gelebte Beziehung besteht. Die hierzu gemachten Angaben geben aber keinen hinreichenden Aufschluss darüber, ob eine gefühlsmässig enge Verbundenheit im Sinne der oben (E. 8.2) beschriebenen Kriterien vorliegt. Daran ändert auch die Einschätzung der H._______, wonach eine wichtige emotionale Bindung zwischen Vater und Sohn bestehe nichts. Zumal diese Schilderung keine genaue Abschätzung zulässt. Insbesondere stellt sich sodann die Frage, ob der zeitliche Umfang der gehandhabten Besuchsregelung überhaupt ausreicht, um in affektiver Hinsicht eine besonders enge Vater-Sohn-Beziehung annehmen zu können.</w:t>
      </w:r>
    </w:p>
    <w:p>
      <w:r>
        <w:rPr>
          <w:b/>
        </w:rPr>
        <w:t>E. 8.4</w:t>
      </w:r>
    </w:p>
    <w:p>
      <w:r>
        <w:t>Ein formelles Besuchsrecht ist vorliegend nicht eingeräumt worden. Der Beschwerdeführer und die Kindsmutter haben jedoch untereinander vereinbart, dass er seinen Sohn jeweils am Samstag während acht Stunden sieht. Hinzu kommen vereinzelte Besuche an Festtagen sowie gewisse Betreuungsaufgaben. Dies erlaubt einen Schluss auf durchschnittlich vier bis fünf Besuche pro Monat. Die zeitliche Ausgestaltung des Besuchsrechts zum Sohn sowie die zusätzlich eingeräumten Besuche und Betreuungsaufgaben entsprechen den üblichen Vereinbarungen, welche Kindeseltern ansonsten anlässlich einer Trennung oder Scheidung vornehmen. Zudem ist über eine Ferienregelung nichts bekannt. Das Besuchsrecht, wie es hier gehandhabt wird, entspricht eher dem Mindeststandard, der es dem nichtsorgeberechtigten Elternteil erlaubt, seine Beziehung zum Kind aufrecht erhalten zu können. Von einem grosszügig ausgestalteten, kontinuierlich, spontan und reibungslos ausgeübten Besuchsrecht - Zeichen für eine besonders intensive affektive Beziehung - kann bei einem solchen Einvernehmen, selbst angesichts der erlangten Stabilisierung in neuerer Zeit, indes nicht die Rede sein. Übernachtet doch der Sohn nie bei seinem Vater, sie sehen sich lediglich an einzelnen Tagen. Auch seine Teilnahme an Elterngesprächen intensiviert die Beziehung nicht entscheidend. Dementsprechend hat das Bundesgericht eine enge gefühlsmässige Vater-Kind-Beziehung nur in den Fällen bejaht, in denen der Kontakt über das übliche Mass hinausging (vgl. BGE 120 Ib 1 E. 3a S. 4; ferner Urteile des Bundesgerichts 2C_805/2012 vom 16. Februar 2012 E. 2.2 sowie 2C_718/2010 vom 2. März 2011 E. 3.2.1 und 2C_787/2010 vom 16. Juni 2011 E. 3.2.2, je mit Hinweisen). Kommt hinzu, dass der Beschwerdeführer lediglich die ersten zwei Lebensjahre mit der Kindsmutter und dem Kind zusammengewohnt hat und er sich bis heute nicht massgeblich an der Betreuung seines Sohnes beteiligt (vgl. hierzu Urteil des Bundesgerichts 2C_799/2010 vom 20. Februar 2011 E. 3.3.1). Auch von daher kann die Beziehung zwischen Vater und Sohn nicht als besonders eng angesehen werden.</w:t>
      </w:r>
    </w:p>
    <w:p>
      <w:r>
        <w:rPr>
          <w:b/>
        </w:rPr>
        <w:t>E. 8.5</w:t>
      </w:r>
    </w:p>
    <w:p>
      <w:r>
        <w:t>Der Beschwerdeführer gab während des Beschwerdeverfahrens vermehrt zu bedenken, dass sich die Kindsmutter unkooperativ und rechtswidrig verhalten habe, was zu Unterbrüchen in der Besuchsausübung geführt habe. Die Haltung der Ex-Ehefrau dürfe ihm mithin nicht zum Nachteil gereichen. Diese Argumentation greift zu kurz. Entscheidend ist in dieser Hinsicht, wie sich die Beziehung zwischen dem Beschwerdeführer als nichtsorgeberechtigtem Elternteil und dem Kind präsentiert, nicht, wie sie unter den bestmöglichen Voraussetzungen gelebt werden könnte. Zugegebenermassen kann es in der Praxis nur dann ein grosszügig ausgeübtes Besuchsrecht geben, wenn diesbezüglich unter beiden Elternteilen Einvernehmen herrscht. Anders ist ein solches Besuchsrecht, welches eine gewisse Offenheit und gegenseitiges Vertrauen der Beteiligten erfordert, gar nicht denkbar, denn die wesentlichen Eigenschaften, die ein solches Besuchsrecht ausmachen, lassen sich gegenüber dem sorgeberechtigten Elternteil nicht zwangsweise durchsetzen. Es ist deshalb unerheblich, dass der Beschwerdeführer die Kindsmutter für die während einiger Zeit schwierige Besuchsregelung verantwortlich macht. Zwar hat sich die Ausübung des Besuchsrechts in der letzten Zeit stabilisiert, dessen Ausgestaltung erweist sich dennoch als ungenügend.</w:t>
      </w:r>
    </w:p>
    <w:p>
      <w:r>
        <w:rPr>
          <w:b/>
        </w:rPr>
        <w:t>E. 8.6</w:t>
      </w:r>
    </w:p>
    <w:p>
      <w:r>
        <w:t>Folglich liefern weder die vorliegenden Akten noch die Beschwerdevorbringen einschliesslich der vorgelegten Beweismittel Anhaltspunkte dafür, dass der Beschwerdeführer zu seinem Sohn eine besonders intensive affektive Beziehung im Sinne der bundesgerichtlichen Rechtsprechung unterhält. Verneint man das Vorliegen einer intensiven gefühlsmässigen Vater-Sohn-Beziehung, so kommt es auch nicht mehr darauf an, mit welchen (räumlichen und finanziellen) Einschränkungen der Beschwerdeführer den Kontakt zum Sohn von seinem Heimatland aus weiterführen kann. Diese Frage wäre nur - bei Bejahung einer intensiven affektiven Beziehung - kumulativ zu prüfen. Dem Beschwerdeführer ist es somit zuzumuten, den Kontakt zu seinem Kind auf andere Weise als bisher zu pflegen (Videotelefonie, Telefonate, Briefverkehr, Reisen in die Schweiz, etc.) und sein nicht förmlich vereinbartes Besuchsrecht - dessen Modalitäten in diesem Fall anzupassen wären - von Nigeria her auszuüben. Dieses wäre nicht mit unüberwindbaren Schwierigkeiten verbunden, auch wenn die dem Beschwerdeführer zur Verfügung stehenden Mittel künftigen persönlichen Kontakten gewisse Grenzen setzen dürften. Den Anforderungen von Art. 8 EMRK ist damit Genüge getan. Das Übereinkommen vom 20. November 1989 über die Rechte des Kindes (KRK, SR 0.107) gewährt keine darüberhinausgehenden Rechte (vgl. etwa Urteil des Bundesverwaltungsgerichts C-8103/2009 vom 24. Oktober 2011 E. 7.5.2). Angesichts dieser klaren Sachlage - selbst der Beschwerdeführer räumt ein, er sehe seinen Sohn abgesehen von speziellen Ereignissen in der Regel nur einmal wöchentlich - ist nicht ersichtlich, inwiefern ergänzende Erkundigungen durch das BFM diesbezüglich wesentlich neue entscheidsrelevante Erkenntnisse hätten liefern können. Wird, wie vorliegend eine enge affektive Beziehung verneint, entfällt eine weitere Prüfung der wirtschaftlichen Bindung zwischen Vater und Sohn. Die Vorinstanz brauchte daher keine zusätzlichen Abklärungen zu treffen und hat damit ihre Pflicht zur Feststellung des Sachverhalts (Art. 12 VwVG) nicht verletzt, wenn sie auf das Erheben weiterer Beweise verzichtete.</w:t>
      </w:r>
    </w:p>
    <w:p>
      <w:r>
        <w:rPr>
          <w:b/>
        </w:rPr>
        <w:t>E. 9</w:t>
      </w:r>
    </w:p>
    <w:p>
      <w:r>
        <w:t>Anspruchsbegründend können auch sonstige wichtige persönliche Gründe sein, da Art. 50 Abs. 1 Bst. b AuG bewusst auf eine abschliessende Aufzählung der Gründe verzichtet (vgl. Urteil des Bundesverwaltungsgerichts C-3374/2010 vom 4. Januar 2012 E. 9).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137 II 345 E. 3.2.3 S. 349 f.). Als insofern relevante Auslegungskriterien (vgl. E. 7 am Ende)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Martina Caroni in: Caroni/Gächter/Thurnherr [Hrsg.], a.a.O., Art. 50 N. 23 f.).</w:t>
      </w:r>
    </w:p>
    <w:p>
      <w:r>
        <w:rPr>
          <w:b/>
        </w:rPr>
        <w:t>E. 9.1</w:t>
      </w:r>
    </w:p>
    <w:p>
      <w:r>
        <w:t>Im Falle des Beschwerdeführers sind keine spezifischen, auf seiner Ehe bzw. deren Auflösung beruhenden Gründe ersichtlich, die ihm einen Anspruch auf weiteren Verbleib in der Schweiz verschaffen würden. Der Beschwerdeführer hält sich mit rund zehn Jahren vergleichsweise lang in der Schweiz auf. Ausschlaggebende Bedeutung kommt diesem Element hier jedoch nicht zu. Wohl ist laut einem Urteil des Bundesgerichts bei einem Asylsuchenden, der sich seit zehn Jahren in der Schweiz aufhält, in der Regel vom Vorliegen eines schwerwiegenden persönlichen Härtefalles auszugehen, sofern 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Allerdings bezieht sich diese Rechtsprechung auf Asylbewerber, über deren Asylgesuch nach zehn Jahren immer noch nicht befunden wurde. Damit wird der besonderen Situation dieser Personenkategorie Rechnung getragen, die von Verfahrens wegen gezwungen ist, den Kontakt zum Herkunftsland abzubrechen (siehe Urteil des Bundesverwaltungsgerichts C-6700/2008 vom 30. November 2011 E. 5.1 mit Hinweisen). Beim Beschwerdeführer liegt in mehrfacher Hinsicht eine andere Konstellation vor. Sein Asylgesuch wurde bereits im Jahre 2003 rechtskräftig abgewiesen. In der Folge kam er seiner Pflicht zur Ausreise nicht nach und hielt sich während gut zweieinhalb Jahren illegal in der Schweiz auf, bevor er am 29. Mai 2006 eine Schweizerin heiratete. Aufgrund der Eheschliessung kam er schliesslich in den Genuss einer ordentlichen Aufenthaltsbewilligung. Die eheliche Gemeinschaft dauerte rund zwei Jahre und war in der Folge endgültig zerrüttet. Die seitherige Anwesenheit des Beschwerdeführers gründete zur Hauptsache auf der Duldung des Wohnkantons. Kommt hinzu, dass seine Integration zu wünschen übrig lässt (siehe E. 9.2 hiernach). Abgesehen davon kommt der Integration während eines gestützt auf die aufschiebende Wirkung von Rechtsmitteln verbrachten Aufenthalts keine oder nur eine beschränkte Bedeutung zu (vgl. BGE 130 II 281 E. 3.3 S. 288 f. mit Hinweisen). Von daher bemisst sich die Aufenthaltsdauer (Art. 31 Abs. 1 Bst. e VZAE) nicht als derart lang, dass ohne Vorliegen besonderer Umstände auf einen schwerwiegenden persönlichen Härtefall geschlossen werden könnte.</w:t>
      </w:r>
    </w:p>
    <w:p>
      <w:r>
        <w:rPr>
          <w:b/>
        </w:rPr>
        <w:t>E. 9.2</w:t>
      </w:r>
    </w:p>
    <w:p>
      <w:r>
        <w:t>Aus den Akten ergibt sich, dass der Beschwerdeführer lange Zeit von der Sozialhilfe abhängig war. Während Jahren ist es ihm immer nur sporadisch gelungen, eine Beschäftigung - in der Regel handelte es sich um Temporäreinsätze - zu finden. Selbst als er mit gesichertem Aufenthaltsstatus hierzulande weilte, war er regelmässig arbeitslos. Gemäss Verfügungsrapport der kantonalen Migrationsbehörde vom 3. April 2009 häufte der Beschwerdeführer vorwiegend während der ehelichen Gemeinschaft einen Unterstützungssaldo von Fr. 125'397.95 an. Zwischen seinen Temporäreinsätzen bezog er regelmässig Arbeitslosengelder. Seit Mitte August 2012 hat er eine für drei Monate befristete Anstellung als Lagermitarbeiter. Von einer beruflichen Eingliederung bzw. einer wirtschaftlichen Selbständigkeit kann mithin keine Rede sein. Daneben hat der Beschwerdeführer auch keine besonderen Anstrengungen unternommen, um in seinem sozialen Umfeld akzeptiert zu werden oder am gesellschaftlichen Leben in der Schweiz teilzunehmen. Jedenfalls ist ausser dem Hinweis in der Beschwerde, dass der Beschwerdeführer sich als Vorstandsmitglied des Vereins L._______ in U._______ aktiv um die Belange der gesellschaftlich Benachteiligten kümmere, was er jedoch lediglich behauptete und nicht belegte, nichts Derartiges bekannt. Ebenso zeigen seine Sprachkenntnisse lediglich auf, dass die bisherige Eingliederung des Beschwerdeführers einer normalen zeitlichen Entwicklung, nicht aber einer besonderen - und auf eine enge Beziehung zur Schweiz hinweisenden - Integrationsleistung entspricht. Aus den unter Art. 31 Abs. 1 Bst. a - d VZAE aufgeführten Kriterien kann somit nicht abgeleitet werden, dass sich der Beschwerdeführer in einer Härtefallsituation befindet, welche die Verlängerung seiner Aufenthaltsbewilligung erfordern würde.</w:t>
      </w:r>
    </w:p>
    <w:p>
      <w:r>
        <w:rPr>
          <w:b/>
        </w:rPr>
        <w:t>E. 9.3</w:t>
      </w:r>
    </w:p>
    <w:p>
      <w:r>
        <w:t>Zu prüfen gilt es, wie es sich mit einer allfälligen Wiedereingliederung in den Herkunftsstaat verhält.</w:t>
      </w:r>
    </w:p>
    <w:p>
      <w:r>
        <w:rPr>
          <w:b/>
        </w:rPr>
        <w:t>E. 9.4</w:t>
      </w:r>
    </w:p>
    <w:p>
      <w:r>
        <w:t>Der Beschwerdeführer ist erst mit 37 Jahren, also als Erwachsener, in die Schweiz gekommen. Weder der Hintergrund seiner bisherigen Anwesenheit noch seine Vorbringen sprechen dafür, dass er hier verwurzelt ist. Vielmehr hat er den grössten Teil seines Lebens, welcher für die Persönlichkeitsbildung und die Sozialisierung wichtige Phasen umfasst, in seiner Heimat verbracht und er ist mit den dortigen kulturellen und gesellschaftlichen Gepflogenheiten vertraut. Es kann angenommen werden, dass er sich bei einer Rückkehr nach Nigeria dort wieder integrieren wird und sich eine neue Existenz aufzubauen vermag. Ohne Belang ist, wenn die wirtschaftlichen Lebensverhältnisse bzw. Verdienstmöglichkeiten in jenem Land nicht denen in der Schweiz entsprechen (vgl. Urteile des Bundesverwaltungsgerichts C-3374/2010 vom 4. Januar 2012 E. 9.4 oder C-8103/2009 vom 24. Oktober 2011 E. 8.2). Zudem hat der Beschwerdeführer in seiner Heimat drei Kinder aus erster Ehe, mit denen er, ebenso wie mit weiteren Familienangehörigen, nach wie vor in Kontakt steht. So hat er diese zeitweise von der Schweiz aus finanziell unterstützt. Deswegen kann davon ausgegangen werden, dass er nach einer Rückkehr soziale Anknüpfungspunkte haben wird, welche seine Reintegration erleichtern dürften. Die Rückkehr in seinen Herkunftsstaat erscheint insofern nicht mit besonderen Schwierigkeiten verbunden. Es erweist sich mithin, dass die gesamten Umstände des vorliegenden Falles keinen wichtigen persönlichen Grund nach Art. 50 Abs. 1 Bst. b AuG zu begründen vermögen. Die Pflicht zur Ausreise stellt folglich in diesem gesetzlichen Rahmen keine besondere Härte dar.</w:t>
      </w:r>
    </w:p>
    <w:p>
      <w:r>
        <w:rPr>
          <w:b/>
        </w:rPr>
        <w:t>E. 10</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11</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11.1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11.2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w:t>
      </w:r>
    </w:p>
    <w:p>
      <w:r>
        <w:rPr>
          <w:b/>
        </w:rPr>
        <w:t>E. 11.3</w:t>
      </w:r>
    </w:p>
    <w:p>
      <w:r>
        <w:t>Der Beschwerdeführer hat sich nur insofern zur Situation in seinem Heimatland geäussert, als er implizit die Auswirkungen auf sein Besuchsrecht geltend gemacht hat. Dieser Aspekt berührt die Frage nach der Zumutbarkeit des Wegweisungsvollzugs jedoch nicht. Es ist auch ansonsten nicht erkennbar, aus welchen Gründen die Wegweisung für ihn zu einer existenzbedrohenden Situation führen könnte. Der Vollzug seiner Wegweisung ist damit als zumutbar zu erachten.</w:t>
      </w:r>
    </w:p>
    <w:p>
      <w:r>
        <w:rPr>
          <w:b/>
        </w:rPr>
        <w:t>E. 12</w:t>
      </w:r>
    </w:p>
    <w:p>
      <w:r>
        <w:t>Aus diesen Darlegungen folgt, dass die angefochtene Verfügung als rechtmässig zu bestätigen ist (Art. 49 VwVG). Die Beschwerde ist demzufolge abzuweisen.</w:t>
      </w:r>
    </w:p>
    <w:p>
      <w:r>
        <w:rPr>
          <w:b/>
        </w:rPr>
        <w:t>E. 13.1</w:t>
      </w:r>
    </w:p>
    <w:p>
      <w:r>
        <w:t>Bei diesem Ausgang des Verfahrens würde der Beschwerdeführer grundsätzlich kostenpflichtig (Art. 63 Abs. 1 VwVG i.V.m. Art. 1, Art. 2 und Art. 3 Bst. b des Reglements vom 21. Februar 2008 über die Kosten und Entschädigungen vor dem Bundesverwaltungsgericht [VGKE, SR 173.320.2]). Der Beschwerdeführer ersuchte in der Rechtsmitteleingabe vom 9. Juni 2010 um Gewährung der unentgeltlichen Rechtspflege und Verbeiständung. Diese wurde ihm mit Zwischenverfügung vom 27. August 2010 gewährt.</w:t>
      </w:r>
    </w:p>
    <w:p>
      <w:r>
        <w:rPr>
          <w:b/>
        </w:rPr>
        <w:t>E. 13.2</w:t>
      </w:r>
    </w:p>
    <w:p>
      <w:r>
        <w:t>Das Gericht setzt die Parteientschädigung und die Entschädigung für die amtlich bestellten Anwältinnen und Anwälte auf Grund der Kostennote fest (Art. 14 Abs. 2 VGKE). Eine solche liegt mit Datum vom 4. September 2012 vor. Der Rechtsvertreter stellt darin für das Honorar 16.85 Stunden und Auslagen von Fr. 123.- in Rechnung. In Berücksichtigung des Umfanges und der Notwendigkeit der Eingaben, der Schwierigkeit der Streitsache in rechtlicher und tatsächlicher Hinsicht sowie der aktenkundigen Bemühungen ist das Honorar des amtlichen Rechtsbeistandes nach Massgabe der einschlägigen Bestimmungen auf Fr. 2'000.- festzusetzen (Art. 65 Abs. 2 und 3 VwVG i.V.m. Art. 8, 9, 10, 12 und 14 VGKE). Die Entschädigung für den unentgeltlichen Rechtsbeistand ist vom Beschwerdeführer zurückzuerstatten, sollte er später zu hinreichenden Mitteln gelangen (Art. 65 Abs. 4 VwVG).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