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C-4240/2019 vom 14. April 2023</w:t>
      </w:r>
    </w:p>
    <w:p>
      <w:r>
        <w:t>Bundesverwaltungsgericht, 2023-04-14, DE</w:t>
      </w:r>
    </w:p>
    <w:p>
      <w:r>
        <w:rPr>
          <w:b/>
        </w:rPr>
        <w:t xml:space="preserve">Quelle: </w:t>
      </w:r>
      <w:r>
        <w:t>https://mcp.opencaselaw.ch/entscheid/bvger_C-4240_2019</w:t>
      </w:r>
    </w:p>
    <w:p>
      <w:r>
        <w:t>FR: TAF C-4240/2019 du 14 avril 2023</w:t>
      </w:r>
    </w:p>
    <w:p>
      <w:r>
        <w:t>IT: TAF C-4240/2019 del 14 aprile 2023</w:t>
      </w:r>
    </w:p>
    <w:p>
      <w:pPr>
        <w:pStyle w:val="Heading2"/>
      </w:pPr>
      <w:r>
        <w:t>Regeste</w:t>
      </w:r>
    </w:p>
    <w:p>
      <w:r>
        <w:t>(Teil-)Liquidation von Vorsorgeeinrichtungen</w:t>
      </w:r>
    </w:p>
    <w:p>
      <w:pPr>
        <w:pStyle w:val="Heading2"/>
      </w:pPr>
      <w:r>
        <w:t>Erwägungen</w:t>
      </w:r>
    </w:p>
    <w:p>
      <w:r>
        <w:rPr>
          <w:b/>
        </w:rPr>
        <w:t>E. 1.1</w:t>
      </w:r>
    </w:p>
    <w:p>
      <w:r>
        <w:t>Per 1. April 2016 erfuhr das Stiftungsrecht diverse Änderungen (vgl. Ziff. I der Änderung vom 25. September 2015 des Schweizerischen Zivil- gesetzbuches [Personalfürsorgestiftungen; AS 2016 935; BBl 2014 6143];</w:t>
      </w:r>
    </w:p>
    <w:p>
      <w:r>
        <w:t>C-4240/2019 Seite 8 vgl. insbesondere Art. 89a Abs. 6 bis 8 des Schweizerischen Zivilgesetz- buches vom 10. Dezember 1907 [ZGB; SR 2010] inkl. dessen Verweise auf die Bestimmungen des Bundesgesetzes vom 25. Juni 1982 über die berufliche Alters-, Hinterlassenen- und Invalidenvorsorge [BVG, SR 831.40]). Diese Änderungen betrafen sowohl das formelle Recht, mit- hin das Aufsichtsverfahren, als auch das materielle Recht. Nach den allgemeinen intertemporalrechtlichen Grundsätzen sind in ver- fahrensrechtlicher Hinsicht in der Regel diejenigen Rechtssätze massge- bend, welche im Zeitpunkt der Beschwerdebeurteilung Geltung haben, un- ter Vorbehalt spezialgesetzlicher Übergangsbestimmungen (statt vieler BGE 130 V 1 E. 3.2; vgl. auch HÄFELIN/MÜLLER/UHLMANN, Allgemeines Verwaltungsrecht, 8. Aufl. 2020, Rz. 296 f.). In materiell-rechtlicher Hinsicht sind demgegenüber grundsätzlich diejenigen Rechtssätze massgebend, die bei der Erfüllung des zu Rechtsfolgen führenden Sachverhalts Geltung haben (statt vieler BGE 140 V 136 E. 4.2.1 m.w.H.; Urteil des BVGer A-141/2017 und A-331/2017 vom 20. November 2018 [Entscheid teilweise bestätigt durch Urteil des BGer 9C_20/2019 vom 28. August 2019] E. 4.1). Angefochten ist die Verfügung der Vorinstanz vom 19. Juni 2019, mit wel- cher die Einsprache der Beschwerdeführerin gegen die Teilliquidation der Vorsorgestiftung mit Stichtag vom 30. September 2018 (Stiftungsratsbe- schluss vom […] 2018) abgewiesen wurde. Für das vorinstanzliche Verfah- ren sind für die Beurteilung der angefochtenen Verfügung die bis 19. Juni 2019 geltenden formell-rechtlichen Vorschriften anzuwenden; für das Be- schwerdeverfahren diejenigen seit dem 19. Juni 2019. In materieller Hin- sicht ist auf das am 26. September 2018 (Genehmigung der Teilliquidation durch die Aufsichtsbehörde) geltende Recht abzustellen. Demnach ist nachfolgend auf Art. 89a Abs. 6 bis 8 ZGB (in der seit 1. April 2016 gelten- den Fassung) bzw. – soweit anwendbar – Art. 53d BVG abzustellen (zur Anwendbarkeit des mit Verfügung vom 20. Januar 2010 genehmigten TLR des Beschwerdegegners siehe nachfolgend E. 3.1.2).</w:t>
      </w:r>
    </w:p>
    <w:p>
      <w:r>
        <w:rPr>
          <w:b/>
        </w:rPr>
        <w:t>E. 1.2</w:t>
      </w:r>
    </w:p>
    <w:p>
      <w:r>
        <w:t>Das Bundesverwaltungsgericht beurteilt gemäss Art. 74 Abs. 1 BVG in Verbindung mit Art. 31 bis 33 des Verwaltungsgerichtsgesetzes vom 17. Juni 2005 (VGG, SR 173.32) Beschwerden gegen Verfügungen der Aufsichtsbehörden im Bereich der beruflichen Vorsorge. Der Beschwerde- gegner untersteht gemäss Handelsregistereintrag (vgl. Sachverhalt Bst. A.a) der Aufsicht der Vorinstanz. Letztere hat in ihrer Funktion als Auf- sichtsbehörde verfügt, weshalb das Bundesverwaltungsgericht zur Beur- teilung der vorliegenden Beschwerde zuständig ist (vgl. auch Art. 3 und 6</w:t>
      </w:r>
    </w:p>
    <w:p>
      <w:r>
        <w:t>C-4240/2019 Seite 9 der Interkantonalen Vereinbarung über die Ostschweizer BVG- und Stif- tungsaufsicht vom 26. September 2005 [sGS 355.01] i.V.m. Art. 9 Abs. 1 Bst. a und Art. 13 Abs. 1 der Verfahrensrechtlichen Bestimmungen der Ost- schweizer BVG- und Stiftungsaufsicht vom 16. November 2015 [sGS 355.11]; für patronale Wohlfahrtsfonds vgl. auch Art. 89a Abs. 7 Ziffer 8 ZGB m.H.a. Art. 74 Abs. 1 BVG; Art. 61 Abs. 2 BVG und Art. 33 Bst. i VGG; Urteile des BVGer A-6695/2017 vom 23. April 2018 [Entscheid bestätigt durch Urteil des BGer 9C_398/2018 vom 13. September 2018] E. 1.2, A-5358/2016 vom 1. Mai 2017 E.1.2).</w:t>
      </w:r>
    </w:p>
    <w:p>
      <w:r>
        <w:rPr>
          <w:b/>
        </w:rPr>
        <w:t>E. 1.3</w:t>
      </w:r>
    </w:p>
    <w:p>
      <w:r>
        <w:t>Das Verfahren vor dem Bundesverwaltungsgericht richtet sich nach dem Verwaltungsverfahrensgesetz vom 20. Dezember 1968 (VwVG, SR 172.021), soweit das VGG nichts anderes bestimmt (Art. 37 VGG). Die Bestimmungen des Bundesgesetzes vom 6. Oktober 2000 über den Allge- meinen Teil des Sozialversicherungsrechts (ATSG, SR 830.1), insbeson- dere dessen 2. Abschnitt über das Sozialversicherungsverfahren, sind für den Bereich des BVG mangels eines entsprechenden Verweises nicht an- wendbar (Art. 2 ATSG e contrario).</w:t>
      </w:r>
    </w:p>
    <w:p>
      <w:r>
        <w:rPr>
          <w:b/>
        </w:rPr>
        <w:t>E. 1.4</w:t>
      </w:r>
    </w:p>
    <w:p>
      <w:r>
        <w:t>Zur Beschwerdeführung berechtigt ist, wer vor der Vorinstanz am Ver- fahren teilgenommen oder keine Möglichkeit zur Teilnahme erhalten hat, durch die angefochtene Verfügung besonders berührt ist und ein schutz- würdiges Interesse an deren Aufhebung oder Änderung hat (Art. 48 VwVG i.V.m. Art. 37 VGG). Art. 53d Abs. 6 BVG, der das Verfahren bei einer Teil- oder Gesamtliquida- tion betrifft, spricht nur von Versicherten und Rentenbezügern, die berech- tigt sind, an die Aufsichtsbehörde zu gelangen, und nennt andere, möglich- erweise von einer Teilliquidation betroffene Personen wie ausscheidende Versicherte, die im Rahmen der Teilliquidation zu berücksichtigen sind, übernehmende Vorsorgeeinrichtungen und involvierte Arbeitgeberfirmen nicht (vgl. auch SABINA WILSON, Die Erstellung des Teilliquidationsregle- ments einer Vorsorgeeinrichtung und weitere Einzelfragen zur Durchfüh- rung einer Teilliquidation, 2016, Rz. 461 ff. m.w.H.). Sofern diese eine un- mittelbare Beeinträchtigung ihrer Interessen darlegen können, sind auch sie – in analoger Anwendung von Art. 48 VwVG – zur Anrufung der Auf- sichtsbehörde und damit zur Einreichung der Beschwerde ans Bundesver- waltungsgericht legitimiert (WILSON, a.a.O., Rz. 465-467 m.w.H.; Urteil des BVGer A-141/2017 vom 20. November 2018 [teilweise bestätigt durch Ur- teil des BGer 9C_20/2019 vom 28. August 2019] E. 1.3.1).</w:t>
      </w:r>
    </w:p>
    <w:p>
      <w:r>
        <w:t>C-4240/2019 Seite 10 Art. 53d BVG findet gemäss Art. 89a Abs. 7 ZGB e contrario keine Anwen- dung auf patronale Wohlfahrtsfonds. Gestützt auf Art. 89a Abs. 8 Ziff. 3 ZGB sind die Grundsätze der Gleichbehandlung jedoch auch von patrona- len Wohlfahrtsfonds zu beachten. Soweit die Vorinstanz in der angefochte- nen Verfügung im Bereich von Art. 89a Abs. 8 Ziff. 2 ZGB agierte, mithin den Stiftungsratsbeschluss genehmigte, muss es auch den bei der Geneh- migung der generellen Erstellung eines (provisorischen) Verteilplans und dabei aufgrund der massgeblichen Kriterien nicht berücksichtigten Versi- cherten (eines patronalen Wohlfahrtsfonds) möglich sein, ihren behaupte- ten Anspruch aus einer Teilliquidation gerichtlich beurteilen zu lassen (vgl. dazu auch Urteil des BVGer A-2646/2018 vom 30. September 2019 [Ent- scheid bestätigt durch Urteil des BGer 9C_747/2019 vom 27. August 2020] E. 2.4). Die Beschwerdeführerin beanstandet als ehemalige Kadermitarbeiterin die Kriterien der Teilliquidation per 30. September 2018, und möchte zum Kreis der Destinatäre gezählt werden. Sie hat am vorinstanzlichen Verfahren teil- genommen und hat ein Interesse an der Aufhebung oder Änderung der angefochtenen Verfügung, welche den von ihr geltend gemachten An- spruch auf Teilnahme verneint. Sie ist demzufolge zur Beschwerde legiti- miert.</w:t>
      </w:r>
    </w:p>
    <w:p>
      <w:r>
        <w:rPr>
          <w:b/>
        </w:rPr>
        <w:t>E. 1.5</w:t>
      </w:r>
    </w:p>
    <w:p>
      <w:r>
        <w:t>Auf die im Übrigen frist- und formgerecht (Art. 50 und 52 VwVG i.V.m. Art. 37 VGG) eingereichte Beschwerde ist – nachdem auch der Kostenvor- schuss fristgerecht geleistet worden ist – einzutreten.</w:t>
      </w:r>
    </w:p>
    <w:p>
      <w:r>
        <w:rPr>
          <w:b/>
        </w:rPr>
        <w:t>E. 2.1</w:t>
      </w:r>
    </w:p>
    <w:p>
      <w:r>
        <w:t>Das Bundesverwaltungsgericht prüft gemäss Art. 49 VwVG i.V.m. Art. 37 VGG grundsätzlich die Verletzung von Bundesrecht einschliesslich der Überschreitung oder des Missbrauchs des Ermessens (Art. 49 Bst. a VwVG), die unrichtige oder unvollständige Feststellung des rechtserhebli- chen Sachverhalts (Art. 49 Bst. b VwVG) und die Unangemessenheit, wenn nicht eine kantonale Behörde als Beschwerdeinstanz verfügt hat (Art. 49 Bst. c VwVG).</w:t>
      </w:r>
    </w:p>
    <w:p>
      <w:r>
        <w:rPr>
          <w:b/>
        </w:rPr>
        <w:t>E. 2.2.1</w:t>
      </w:r>
    </w:p>
    <w:p>
      <w:r>
        <w:t>Im Verfahren nach Art. 53d Abs. 6 BVG betreffend die Überprüfung der Voraussetzungen und des Verfahrens der Teilliquidation sowie des Ver- teilplans beschränkt sich die Prüfungsbefugnis der Aufsichtsbehörde ge- mäss Art. 62 Abs. 1 Bst. a BVG auf eine reine Rechtskontrolle (WILSON,</w:t>
      </w:r>
    </w:p>
    <w:p>
      <w:r>
        <w:t>C-4240/2019 Seite 11 a.a.O., Rz. 485 und Rz. 396 m.H.a. die bundesgerichtliche Rechtspre- chung und ISABELLE VETTER-SCHREIBER, BVG FZG, Berufliche Vorsorge, Kommentar, 4. Aufl. 2021, Art. 62 N 1, 3 und 5). Da sich die Kognition der oberen Instanz nur verengen, nicht aber erweitern kann (Einheit des Ver- fahrens), hat sich auch das Bundesverwaltungsgericht – in Abweichung von Art. 49 Bst. c VwVG – auf eine Rechtskontrolle zu beschränken. Es darf sein eigenes Ermessen nicht an die Stelle desjenigen der Aufsichts- behörde setzen und kann nur einschreiten, wenn deren Genehmigungs- entscheid unhaltbar ist, weil er auf sachfremden Kriterien beruht oder ein- schlägige Kriterien ausser Acht lässt (statt vieler BGE 139 V 407 E. 4.1.2 und Urteil des BVGer A-2946/2017 vom 26. Juli 2018 E. 2.1, je m.w.H.).</w:t>
      </w:r>
    </w:p>
    <w:p>
      <w:r>
        <w:rPr>
          <w:b/>
        </w:rPr>
        <w:t>E. 2.2.2</w:t>
      </w:r>
    </w:p>
    <w:p>
      <w:r>
        <w:t>Diese Grundsätze sind auch bei einer Teilliquidation eines Wohl- fahrtsfonds zu beachten (vgl. Urteil des BGer 9C_747/2019 vom 27. Au- gust 2019 E. 4.3).</w:t>
      </w:r>
    </w:p>
    <w:p>
      <w:r>
        <w:rPr>
          <w:b/>
        </w:rPr>
        <w:t>E. 2.2.3</w:t>
      </w:r>
    </w:p>
    <w:p>
      <w:r>
        <w:t>Ermessensmissbrauch ist gegeben, wenn die Behörden zwar die Vo- raussetzungen und Grenzen des ihnen zustehenden Ermessens beachten, sich aber von unsachlichen, dem Zweck der massgebenden Vorschriften fremden Erwägungen leiten lassen oder allgemeine Rechtsprinzipien wie das Willkürverbot, die Rechtsgleichheit, das Gebot von Treu und Glauben oder den Grundsatz der Verhältnismässigkeit verletzen. Ermessensüber- schreitung liegt vor, wenn die Behörden Ermessen ausüben, wo das Ge- setz kein oder nur ein geringes Ermessen einräumt. Ermessensunter- schreitung ist gegeben, wenn sich die Behörde als gebunden erachtet, ob- wohl ihr das Gesetz einen Ermessensspielraum einräumt; die Behörden können nicht auf die Ermessensausübung verzichten (Urteil des BVGer C-1530/2013 vom 26. Oktober 2015 E. 2.2; KÖLZ/HÄNER/BERTSCHI, Ver- waltungsverfahren und Verwaltungsrechtspflege des Bundes, 3. Aufl. 2013, Rz. 1037).</w:t>
      </w:r>
    </w:p>
    <w:p>
      <w:r>
        <w:rPr>
          <w:b/>
        </w:rPr>
        <w:t>E. 2.3</w:t>
      </w:r>
    </w:p>
    <w:p>
      <w:r>
        <w:t>Im Beschwerdeverfahren vor Bundesverwaltungsgericht gelten die Un- tersuchungsmaxime, wonach der Sachverhalt von Amtes wegen festzu- stellen ist (vgl. Art. 12 VwVG), und der Grundsatz der Rechtsanwendung von Amtes wegen. Das Bundesverwaltungsgericht ist verpflichtet, auf den – unter Mitwirkung der Verfahrensbeteiligten – festgestellten Sachverhalt die richtige Rechtsnorm anzuwenden. Dies bedeutet, dass es eine Be- schwerde auch aus anderen als den geltend gemachten Gründen gutheis- sen oder den angefochtenen Entscheid im Ergebnis mit einer Begründung bestätigen kann, die von jener der Vorinstanz abweicht (sog. Motivsubsti- tution, Art. 62 Abs. 4 VwVG; vgl. statt vieler BVGE 2007/41 E. 2 m.H.; Urteil</w:t>
      </w:r>
    </w:p>
    <w:p>
      <w:r>
        <w:t>C-4240/2019 Seite 12 des BVGer A-5624/2018 vom 19. Juli 2019 E. 2.1 mit Hinweis auf BGE 132 II 113 E. 3.2 m.H.).</w:t>
      </w:r>
    </w:p>
    <w:p>
      <w:r>
        <w:rPr>
          <w:b/>
        </w:rPr>
        <w:t>E. 3.1</w:t>
      </w:r>
    </w:p>
    <w:p>
      <w:r>
        <w:t>Die Voraussetzungen für eine Teilliquidation sind in Art. 53b Abs. 1 BVG statuiert. Sie sind vermutungsweise erfüllt, wenn eine erhebliche Ver- minderung der Belegschaft erfolgt (Bst. a), oder eine Unternehmung rest- rukturiert wird (Bst. b), oder aber der Anschlussvertrag aufgelöst wird (Bst. c; vgl. zur Ausschliesslichkeit und Alternativität der Tatbestandsvo- raussetzungen BGE 143 V 200 E. 2.1 m.H., 138 V 346 E. 6.1, 136 V 322 E. 8.2).</w:t>
      </w:r>
    </w:p>
    <w:p>
      <w:r>
        <w:rPr>
          <w:b/>
        </w:rPr>
        <w:t>E. 3.1.1</w:t>
      </w:r>
    </w:p>
    <w:p>
      <w:r>
        <w:t>Nach der Rechtsprechung des Bundesgerichts zum bis am 31. März 2016 gültig gewesenen Recht findet Art. 53b BVG auf patronale Wohl- fahrtsfonds analog Anwendung (BGE 138 V 346 E. 5 ff.) und sind die ge- setzlichen Voraussetzungen zur Teilliquidation (auch) im Reglement des patronalen Wohlfahrtsfonds zu qualifizieren. Seit der ZGB-Anpassung zur Stärkung der Wohlfahrtsfonds mit Ermes- sensleistungen (vgl. Ziff. I des BG vom 25. Sept. 2015 [Personalfürsorge- stiftungen], in Kraft seit 1. April 2016 [AS 2016 935; BBl 2014 6143 6649]) entfällt für patronale Wohlfahrtsfonds mit Ermessensleistungen die Pflicht zur Erstellung eines Teilliquidationsreglements.</w:t>
      </w:r>
    </w:p>
    <w:p>
      <w:r>
        <w:rPr>
          <w:b/>
        </w:rPr>
        <w:t>E. 3.1.2</w:t>
      </w:r>
    </w:p>
    <w:p>
      <w:r>
        <w:t>Der Beschwerdegegner hat am 26. November 2009 ein Teilliquida- tionsreglement erlassen, welches von der OSA am 20. Januar 2010 ge- nehmigt worden ist (OSA-act. 16). Nach den Ausführungen des Beschwer- degegners wurde das TLR nach dem 1. April 2016 nicht aufgehoben und blieb weiterhin in Kraft. Es kann demnach offenbleiben, ob der Beschwer- degegner die reglementarische Vorsorge ausgelagert hat und nur noch aus einem patronalen Wohlfahrtsfonds besteht (vgl. hierzu auch: Ergebnispro- tokoll Stiftungsratssitzung des Vorsorgefonds vom 18. September 2018 Ziff. 3 [OSA-act. 13]; vgl. BGE 139 V 407 E. 6.2.1 m.H.a. BGE 138 V 346 E. 3.1.1). Das aktuelle TLR ist bei einer Teilliquidation in jedem Fall zu be- achten. Das TLR des Beschwerdegegners sieht in Ziff. 1 vor, dass die Vorausset- zungen für eine Teilliquidation erfüllt sind, wenn eine erhebliche Verände- rung des Versichertenbestandes erfolgt (Ziff. 1.1 Bst. a), wenn eine Rest- rukturierung der Stifterfirma oder eines angeschlossenen Unternehmens mit einer Verminderung der Belegschaft verbunden ist (Ziff. 1.1 Bst. b) oder</w:t>
      </w:r>
    </w:p>
    <w:p>
      <w:r>
        <w:t>C-4240/2019 Seite 13 wenn ein Anschlussvertrag aufgelöst wird und die Vorsorgeeinrichtung wei- tergeführt wird (Ziff. 1.1 Bst. c). Diese Voraussetzungen werden in Ziff. 1.2 bis 1.4 TLR noch näher spezifiziert. Gemäss Ziff. 1.3 TLR liegt eine Re- strukturierung vor, wenn bisherige Tätigkeitsbereiche des Unternehmens zusammengelegt, eingestellt, verkauft, ausgelagert oder auf andere Weise verändert werden und die eine Verminderung der Belegschaft von mindes- tens 10%, im Minimum aber drei Personen, zur Folge hat.</w:t>
      </w:r>
    </w:p>
    <w:p>
      <w:r>
        <w:rPr>
          <w:b/>
        </w:rPr>
        <w:t>E. 3.1.3</w:t>
      </w:r>
    </w:p>
    <w:p>
      <w:r>
        <w:t>Vorliegend ist unbestritten, dass die Voraussetzungen für eine Teilli- quidation erfüllt sind. Strittig ist jedoch deren Abwicklung unter dem Aspekt der Gleichbehandlung.</w:t>
      </w:r>
    </w:p>
    <w:p>
      <w:r>
        <w:rPr>
          <w:b/>
        </w:rPr>
        <w:t>E. 3.2.1</w:t>
      </w:r>
    </w:p>
    <w:p>
      <w:r>
        <w:t>Gemäss Art. 53d Abs. 1 BVG muss die Teil- und Gesamtliquidation der Vorsorgeeinrichtung unter Berücksichtigung des Gleichbehandlungs- grundsatzes und nach fachlich anerkannten Grundsätzen durchgeführt werden; der Bundesrat wird beauftragt, diese Grundsätze zu bezeichnen. Nach Art. 53d Abs. 4 BVG legt das paritätisch besetzte Organ oder das zuständige Organ im Rahmen der gesetzlichen Bestimmungen und des Reglements den genauen Zeitpunkt, die freien Mittel und den zu verteilen- den Anteil, den Fehlbetrag und dessen Zuweisung und den Verteilungsplan fest. Der Delegation in Art. 53d Abs. 1 BVG ist der Bundesrat mit Art. 27g und 27h der Verordnung vom 18. April 1984 über die berufliche Alters-, Hinter- lassenen- und Invalidenvorsorge (BVV 2; SR 831.441.1) nachgekommen. Diese Bestimmungen sind am 1. Januar 2005 in Kraft getreten. Sie kon- kretisieren namentlich den in Art. 53d Abs. 1 BVG festgehaltenen Grund- satz der Gleichbehandlung (Urteil des BVGer A-1024/2016 vom 19. Juli 2017 E. 2.2).</w:t>
      </w:r>
    </w:p>
    <w:p>
      <w:r>
        <w:rPr>
          <w:b/>
        </w:rPr>
        <w:t>E. 3.2.2</w:t>
      </w:r>
    </w:p>
    <w:p>
      <w:r>
        <w:t>Nach Art. 89a Abs. 8 Ziff. 3 ZGB haben patronale Wohlfahrtsfonds die Grundsätze der Gleichbehandlung und der Angemessenheit sinnge- mäss zu beachten (vgl. hiervor E. 1.4, 3. Absatz). Dies gilt grundsätzlich auch im Falle der Teilliquidation eines patronalen Wohlfahrtsfonds, wobei jedoch hier das Ermessen des Stiftungsrats weiter gefasst ist als bei einer regulären Vorsorgeeinrichtung (vgl. dazu VETTER-SCHREIBER, a.a.O., Art. 53b N 26).</w:t>
      </w:r>
    </w:p>
    <w:p>
      <w:r>
        <w:rPr>
          <w:b/>
        </w:rPr>
        <w:t>E. 3.2.3</w:t>
      </w:r>
    </w:p>
    <w:p>
      <w:r>
        <w:t>Auch unter dem Gesichtspunkt der Gleichbehandlung kann offenblei- ben, ob die Teilliquidation einen patronalen Wohlfahrtsfonds mitbetrifft, da</w:t>
      </w:r>
    </w:p>
    <w:p>
      <w:r>
        <w:t>C-4240/2019 Seite 14 dieser Grundsatz nach dem Gesagten auf beide Arten von Einrichtungen Anwendung findet. Im hier zu beurteilenden Fall ist den Vorgaben gemäss TLR zu folgen, die das Gleichbehandlungsgebot konkretisieren und inso- weit den Stiftungsrat in seinem Ermessen leiten.</w:t>
      </w:r>
    </w:p>
    <w:p>
      <w:r>
        <w:rPr>
          <w:b/>
        </w:rPr>
        <w:t>E. 4.1</w:t>
      </w:r>
    </w:p>
    <w:p>
      <w:r>
        <w:t>Im konkreten Fall ist strittig, ob die vom Stiftungsrat getroffene Wahl bezüglich des Kreises der Destinatäre, die von der Vorinstanz genehmigt wurde, den Grundsatz der Gleichbehandlung missachtet, und letztlich ob die Beschwerdeführerin als ehemalige Mitarbeiterin der Arbeitgeberin ebenfalls zum Kreis der Destinatäre zu zählen ist (zur Rechtskontrolle bzw. Ermessensüberschreitung vgl. vorne E. 2.2 ff. bzw. E. 3.2.2). Vorab stellt sich die Frage nach den Kriterien für die Bestimmung des Destinatärkrei- ses.</w:t>
      </w:r>
    </w:p>
    <w:p>
      <w:r>
        <w:rPr>
          <w:b/>
        </w:rPr>
        <w:t>E. 4.2</w:t>
      </w:r>
    </w:p>
    <w:p>
      <w:r>
        <w:t>Gemäss Lehre und Rechtsprechung ist der Kreis der Anspruchsbe- rechtigten nicht nur auf die im Moment der Liquidation bei der Stifterfirma beschäftigten Arbeitnehmenden beschränkt. In den Verteilungsplan sind vielmehr auch diejenigen Arbeitnehmenden einzubeziehen, die – bei um- fassender Betrachtungsweise – aufgrund derselben Veränderungen bei der Arbeitgeberfirma, die auch zur Liquidation der Stiftung führten, schon zuvor ihren Arbeitsplatz verloren haben (vgl. statt vieler Urteil des BGer 2A.494/2000 vom 22. August 2001 E. 2a und Urteil des BVGer C-7479/2008 und C-7607/2008 vom 18. Februar 2011 E. 4.3 je m.w.H.; THOMAS MANHART, Die Aufhebung mit Liquidation von Stiftungen, insbe- sondere von Personalvorsorgestiftungen, Diss. 1986, S. 155 f. m.w.H.; zum Ganzen: Urteil des BVGer A-6625/2014 vom 19. Mai 2016 [Entscheid be- stätigt durch Urteil des BGer 9C_446/2016 vom 24. November 2016] E. 7.1.1). Im Rahmen einer Teilliquidation bestimmt sich der Stichtag prinzipiell nach dem die Liquidation auslösenden Ereignis. Erfolgt der Personalabbau schleichend, wird regelmässig nicht ein Zeitpunkt, sondern ein Zeitraum festgelegt (Urteil des BVGer A-6625/2014 vom 19. Mai 2016 [bestätigt durch Urteil des BGer 9C_446/2016 vom 24. November 2016] E. 7.1.2).</w:t>
      </w:r>
    </w:p>
    <w:p>
      <w:r>
        <w:rPr>
          <w:b/>
        </w:rPr>
        <w:t>E. 4.3</w:t>
      </w:r>
    </w:p>
    <w:p>
      <w:r>
        <w:t>Arbeitnehmende dagegen, die aus freiem Entschluss, d.h. ohne Veran- lassung seitens des Arbeitgebenden ein Arbeitsverhältnis selber aufgelöst haben, brauchen nicht berücksichtigt zu werden, denn sie werden durch</w:t>
      </w:r>
    </w:p>
    <w:p>
      <w:r>
        <w:t>C-4240/2019 Seite 15 die Umstrukturierung nicht in ihrem Vertrauen auf allfällige künftige Leis- tungen der Personalfürsorgestiftung enttäuscht (Urteil des BGer 2A.494/2000 vom 22. August 2001 E. 2a m.w.H. und BGE 119 Ib 46 E. 4d). Dies gilt zum Beispiel für Mitarbeitende, die ihre Stelle kündigen, weil sie sich mit einer Neuorganisation bzw. mit den ihnen dabei neu zugewiesenen Vorgesetzten nicht abfinden wollen, oder bei Aufhebung der bisherigen Stelle, wenn sie das ihnen zumutbare Versetzungsangebot nicht anneh- men wollen und aus diesem Grunde kündigen (VETTER-SCHREIBER, a.a.O., Art. 53b N 16 m.Ha. BGE 128 II 394 E. 6.5 m.H.). Das freiwillige Ausscheiden eines Arbeitnehmenden kann aber im Rahmen einer Teilliquidation dann relevant werden, wenn dies wegen einer sich ab- zeichnenden wirtschaftlichen Schwierigkeit des Arbeitgebers und aus be- rechtigter Angst um den Arbeitsplatz erfolgt (VETTER-SCHREIBER, a.a.O., Art. 53b N 18, BGE 128 II 394 E. 6.5 m.H.; Urteil des BGer 2A.494/2000 vom 22. August 2001 E. 2a in fine; für allgemeine Ausschüttungen vgl. BGE 133 V 607 E. 4.2.3).</w:t>
      </w:r>
    </w:p>
    <w:p>
      <w:r>
        <w:rPr>
          <w:b/>
        </w:rPr>
        <w:t>E. 4.4</w:t>
      </w:r>
    </w:p>
    <w:p>
      <w:r>
        <w:t>In Ziff. 6.1 TLR ist festgehalten, dass für die Erstellung des Verteilpla- nes Folgendes gilt: Zum Destinatärkreis gehören alle im Zeitpunkt der Teilli- quidation der Stifterfirma oder einem angeschlossenen Unternehmen an- gestellten Personen sowie Rentner. Bei stufenweisem Personalabbau wer- den auch Personen berücksichtigt, welche – bei umfassender Betrach- tungsweise – aufgrund derselben Veränderungen schon zuvor ihren Ar- beitsplatz verloren haben.</w:t>
      </w:r>
    </w:p>
    <w:p>
      <w:r>
        <w:rPr>
          <w:b/>
        </w:rPr>
        <w:t>E. 4.4.1</w:t>
      </w:r>
    </w:p>
    <w:p>
      <w:r>
        <w:t>Die Vorinstanz genehmigte mit Verfügung vom 20. Januar 2010 das TLR des Beschwerdegegners. Dies schliesst jedoch eine vorfrageweise Überprüfung des TLR im Rahmen einer konkreten Teilliquidation nicht aus (BGE 143 V 200 E. 5.1, 139 V 72 E. 2.2 und 4).</w:t>
      </w:r>
    </w:p>
    <w:p>
      <w:r>
        <w:rPr>
          <w:b/>
        </w:rPr>
        <w:t>E. 4.4.2</w:t>
      </w:r>
    </w:p>
    <w:p>
      <w:r>
        <w:t>Das TLR sieht für die Bestimmung des Kreises der Destinatäre grundsätzlich einen Stichtag vor, lässt aber die Möglichkeit eines Zeitrau- mes offen. Es entspricht insoweit ohne Weiteres den gesetzlichen Vorga- ben und der entsprechenden Rechtsprechung (Art. 53d Abs. 4 Bst. a BVG; vgl. hiervor E. 4.2). Zu prüfen bleibt jedoch, ob im hier zu beurteilenden Teilliquidationsfall der Kreis der zu berücksichtigenden Destinatäre reglementskonform bestimmt worden ist, mithin zu Recht auf einen Stichtag beschränkt worden ist.</w:t>
      </w:r>
    </w:p>
    <w:p>
      <w:r>
        <w:t>C-4240/2019 Seite 16</w:t>
      </w:r>
    </w:p>
    <w:p>
      <w:r>
        <w:rPr>
          <w:b/>
        </w:rPr>
        <w:t>E. 5.1</w:t>
      </w:r>
    </w:p>
    <w:p>
      <w:r>
        <w:t>Die Verfügung der Vorinstanz vom 26. September 2018 betreffend die Genehmigung der Mittelverteilung (vgl. hiervor Bst. A.e) hält unter Bst. B fest, dass für die freiwillige Verteilung der Arbeitgeberbeitragsreserven alle per 30. September 2018 angestellten Mitarbeitenden der Arbeitgeberin ein- bezogen werden. Demgegenüber seien für die Verteilung der Wertschwan- kungsreserve alle per 30. September 2018 bei der Arbeitgeberin angestell- ten Mitarbeitenden sowie Rentner, welche vom Vorsorgefonds eine Rente beziehen, sowie die Mitarbeitenden der G._______ AG anspruchsberech- tigt. Damit sind für die Verteilung der Arbeitgeberbeitragsreserven und die Ver- teilung der freien Mittel zwei unterschiedliche Destinatärkreise vorgesehen. Dies ist im hier zu beurteilenden Fall jedoch insofern unerheblich, als die Beschwerdeführerin am 30. September 2018 weder bei der Arbeitgeberin noch bei der G._______ AG angestellt war noch vom Vorsorgefonds eine Rente bezog, sondern – wie nachfolgend darzulegen sein wird – eine Zu- gehörigkeit zum Destinatärkreis aus anderen Gründen geltend macht.</w:t>
      </w:r>
    </w:p>
    <w:p>
      <w:r>
        <w:rPr>
          <w:b/>
        </w:rPr>
        <w:t>E. 5.2</w:t>
      </w:r>
    </w:p>
    <w:p>
      <w:r>
        <w:t>Die Beschwerdeführerin machte auf Beschwerdeebene im Wesentli- chen geltend, sie habe in den Jahren von 1983 – 1986 bereits ihre Lehre bei der Arbeitgeberin absolviert und sei danach im Betrieb geblieben. Per 1. Januar 2009 sei sie zur Vizedirektorin ernannt worden. Seit 2003 habe die Arbeitgeberin einen ständigen Umsatzrückgang zu verzeichnen ge- habt, welcher zu Kündigungen aus wirtschaftlichen Gründen und zu vor- zeitigen Pensionierungen von Mitarbeitenden geführt habe. Im Jahre 2009 habe die Unternehmung noch 135 Angestellte gezählt, im Jahre 2018 nur noch 76. In den Jahren 2008, 2009, 2010, 2011, 2015, 2016 habe die Un- ternehmung jeweils Kurzarbeit einführen müssen, was ein klares Anzei- chen dafür sei, dass die wirtschaftliche Entwicklung alles andere als rosig gewesen sei. Als im Oktober 2015 F._______ die Verkaufsleitung der Ar- beitgeberin übernommen habe und den damaligen CEOs H._______ so- wie I._______ nahegelegt worden sei, in den Ruhestand zu treten, sei bei ihr die Angst aufgekommen, dass die offensichtliche Absicht der Ablösung «der alten Garde» schwerwiegende Folgen für sie haben könnte. Ebenfalls im Jahre 2015 sei J._______ als Berater im Rahmen der Prüfung und Ein- führung von Sanierungsmassnahmen engagiert worden. Damals sei ihr durch ihren damaligen Vorgesetzten, H._______, mitgeteilt worden, dass ihre Stelle auf 30% reduziert werden solle. Im März 2016 sei den beiden</w:t>
      </w:r>
    </w:p>
    <w:p>
      <w:r>
        <w:t>C-4240/2019 Seite 17 Vizedirektoren und Verkäufern K._______ und L._______ aus wirtschaftli- chen Gründen gekündigt worden. Diese Positionen seien nicht etwa durch neue Mitarbeitende ersetzt worden, sondern die entsprechenden Aufgaben seien an bisherige Angestellte übertragen worden, welche über keinerlei Erfahrung in der Materie verfügt hätten. Im Kern macht die Beschwerdeführerin somit einerseits sinngemäss gel- tend, dass die Vorinstanz für die Bestimmung des Destinatärkreises nicht auf einen Stichtag, sondern auf einen Zeitraum hätte abstellen müssen. Andererseits macht die Beschwerdeführerin geltend, dass sie faktisch un- freiwillig und aus wirtschaftlichen Gründen – aus Angst um ihren Arbeits- platz – ihre Stelle aufgegeben habe.</w:t>
      </w:r>
    </w:p>
    <w:p>
      <w:r>
        <w:rPr>
          <w:b/>
        </w:rPr>
        <w:t>E. 5.3</w:t>
      </w:r>
    </w:p>
    <w:p>
      <w:r>
        <w:t>Der Beschwerdegegner führte in der Stellungnahme vom 29. Januar 2020 (BVGer-act. 15) aus, dass sich der Mitarbeiterbestand der Arbeitge- berin im Jahre 2016 lediglich von 83 auf 80 Mitarbeitende reduziert habe, während er im Jahre 2017 stabil geblieben sei (bzw. sich um die 14 Mitar- beitenden erhöht habe, die die Arbeitgeberin aus der Fusion mit der D._______ AG übernommen habe). Die neue Geschäftsleitung habe die Arbeitsstelle der Beschwerdeführerin bereits im Frühjahr 2016 geprüft und habe keinen Anpassungsbedarf bei dieser Stelle erkannt; die Beschwerde- führerin habe folglich keine begründete Angst um ihren Arbeitsplatz haben können. Vielmehr habe sie sich von der abtretenden «alten Garde» anste- cken lassen und die Veränderungen bei der Arbeitgeberin ebenfalls als ne- gativ beurteilt. Sie habe sich offenbar auch nicht mehr im angestammten Team eingebunden gefühlt, da sie nicht mehr zu den Besprechungen der Geschäftsleitung eingeladen worden sei. Auch habe sie wohl eine Margi- nalisierung ihrer Einflusssphäre befürchtet. Sinngemäss bestreitet der Beschwerdegegner einerseits den Personalab- bau und macht andererseits geltend, die Beschwerdeführerin sei freiwillig aus dem Unternehmen ausgeschieden.</w:t>
      </w:r>
    </w:p>
    <w:p>
      <w:r>
        <w:rPr>
          <w:b/>
        </w:rPr>
        <w:t>E. 6.1</w:t>
      </w:r>
    </w:p>
    <w:p>
      <w:r>
        <w:t>Somit ist in einem ersten Schritt zu prüfen, ob die Vorinstanz Bundes- recht verletzt bzw. ihr Ermessen überschritten oder missbraucht hat, indem sie mit Verfügung vom 26. September 2018 dem Stiftungsratsbeschluss vom 18. September 2018 (und dem entsprechenden Verteilplan) zuge- stimmt hat. Dies beurteilt sich unter anderem danach, ob der Stiftungsrat sein Ermessen seinerseits überschritten hat, indem er für die Bestimmung</w:t>
      </w:r>
    </w:p>
    <w:p>
      <w:r>
        <w:t>C-4240/2019 Seite 18 des Destinatärkreises einzig auf einen Stichtag statt – wie von der Be- schwerdeführerin sinngemäss gefordert – auf einen Zeitraum abgestellt hat. Für die Berücksichtigung eines Zeitraumes wäre wiederum Vorausset- zung, dass der Teilliquidation ein schleichender Personalabbau vorausge- gangen wäre. Dies wird von der Beschwerdeführerin behauptet und vom Beschwerdegegner bestritten.</w:t>
      </w:r>
    </w:p>
    <w:p>
      <w:r>
        <w:rPr>
          <w:b/>
        </w:rPr>
        <w:t>E. 6.2</w:t>
      </w:r>
    </w:p>
    <w:p>
      <w:r>
        <w:t>Die Beschwerdeführerin ist für den Nachweis ihrer Behauptung auf die Mitwirkung des Beschwerdegegners angewiesen. Die Behauptung des Be- schwerdegegners, wonach sich der Personalbestand der Arbeitgeberin im Jahre 2016 lediglich von 83 auf 80 Mitarbeitende reduziert habe, während er im Jahre 2017 stabil geblieben sei, ist durch die Akten weitgehend belegt (vgl. hiervor E. 5.3 und BVGer-act. 15 Beilage 9), auch wenn diese Zahlen zum Personalbestand lediglich den Zeitraum zwischen 2015 und der Teilli- quidation betreffen und keine Details zu den entsprechenden Pensen ent- halten. Die Beschwerdeführerin führt für die aus wirtschaftlichen Gründen gekündigten Personen demgegenüber einzig die beiden in der Verkaufs- leitung tätig gewesen Personen an. Diese beiden Kündigungen und die weiteren Ausführungen der Beschwerdeführerin zu den beiden ehemaligen CEOs, die jedoch vorerst weiterbeschäftigt werden sollten, betreffen per- sonelle Veränderungen in der Führungsetage, die ins Bild des Strategie- wechsels im Jahr 2015 passen. Ein schleichender Personalabbau im Sinne der Rechtsprechung ist dadurch nicht erstellt. Wie vorstehend ausgeführt hat die Arbeitgeberin zwar öffentlich eingeräumt, dass sie natürliche Ab- gänge nicht mehr ersetzt habe. Gleichzeitig hat sie aber auch bekräftigt, das Personal und dessen Know-how halten zu wollen. Auch dies entspricht keinem schleichenden Personalabbau im Sinne der Rechtsprechung. Folglich ist es nicht zu beanstanden, wenn der Stiftungsrat und die Vo- rinstanz zur Bestimmung der anspruchsberechtigten Destinatäre auf den Personal- bzw. Rentnerbestand per 30. September 2018 abgestellt haben.</w:t>
      </w:r>
    </w:p>
    <w:p>
      <w:r>
        <w:rPr>
          <w:b/>
        </w:rPr>
        <w:t>E. 7.1</w:t>
      </w:r>
    </w:p>
    <w:p>
      <w:r>
        <w:t>In einen zweiten Schritt ist zu prüfen, ob die Beschwerdeführerin als ehemalige Mitarbeiterin der Arbeitgeberin gleich zu behandeln ist, wie die am 30. September 2018 angestellt gewesenen Mitarbeitenden der Arbeit- geberin. Insbesondere ist zu prüfen, ob die Vorinstanz Bundesrecht verletzt bzw. ihr Ermessen überschritten oder missbraucht hat, indem sie in der Verfügung vom 19. Juni 2019 die inneren Tatsachen für das Vorliegen einer</w:t>
      </w:r>
    </w:p>
    <w:p>
      <w:r>
        <w:t>C-4240/2019 Seite 19 sog. Angstkündigung letztlich verneint hat. Dies beurteilt sich unter ande- rem danach, ob die Beschwerdeführerin ihre Anstellung aus wirtschaftli- chen Gründen gekündigt hat.</w:t>
      </w:r>
    </w:p>
    <w:p>
      <w:r>
        <w:rPr>
          <w:b/>
        </w:rPr>
        <w:t>E. 7.2</w:t>
      </w:r>
    </w:p>
    <w:p>
      <w:r>
        <w:t>Die Beschwerdeführerin verweist in diesem Zusammenhang auf die fi- nanziellen Schwierigkeiten der Arbeitgeberin, insbesondere auf die seit 2008 wiederholt eingeführte Kurzarbeit. Diese Behauptung blieb unbelegt. Weitere Abklärungen hierzu erübrigen sich jedoch, zumal der Beschwer- degegner in der Stellungnahme vom 29. Januar 2020 einräumt, dass das operative Ergebnis der Arbeitgeberin im Juni 2015 schlecht gewesen sei und zur Verbesserung des operativen Ergebnisses der Unternehmensbe- rater J._______ mit der Ausarbeitung eines Massnahmekonzeptes beauf- tragt worden sei, was in der Folge zum Projekt «(Name)» geführt habe. Nach den weiteren Ausführungen des Beschwerdegegners habe das Kon- zept im Jahre 2017 eine erste Verbesserung der operativen Tätigkeit, aber gleichzeitig auch weiteren Handlungsbedarf gezeigt. Des Weiteren führt der Beschwerdegegner aus, F._______ habe am 6. August 2018 gekün- digt, weil er gespürt habe, wie er und die Geschäftsleitung das Vertrauen gewisser Aktionäre verloren hätten. Diese hätten beanstandet, dass die Kurve mit den Verbesserungen zu wenig steil nach oben gezeigt habe und dass der Soll-/Ist-Vergleich immer noch einen Verlust im operativen Ge- schäft angezeigt habe. F._______ sei eigenen Angaben zufolge nicht mehr imstande gewesen weiterzuarbeiten, wenn ihm die vor den Turnaround nö- tige Zeit nicht gewährt werde. Damit ist erstellt, dass die Kündigung der Beschwerdeführerin Ende 2016 in eine Zeit fällt, in der sich die Arbeitgeberin in einer schwierigen wirtschaftlichen Situation befand. Des Weiteren ist erstellt, dass die Kündigung von F._______ ebenfalls im Zusammenhang mit der schwierigen wirtschaftlichen Situation der Arbeitgeberin zu sehen ist. Während F._______ die Arbeitgeberin offenbar wegen Differenzen mit der Geschäftsleitung bzw. dem Aktionariat verlassen hat, steht seitens der Beschwerdeführerin eine Kündigung aus Angst zur Diskussion (vgl. dazu nachfolgend).</w:t>
      </w:r>
    </w:p>
    <w:p>
      <w:r>
        <w:rPr>
          <w:b/>
        </w:rPr>
        <w:t>E. 7.3.1</w:t>
      </w:r>
    </w:p>
    <w:p>
      <w:r>
        <w:t>Die Beschwerdeführerin macht vor Bundesverwaltungsgericht gel- tend, sie habe um ihre Anstellung gefürchtet, da ihr abgetretener Vorge-</w:t>
      </w:r>
    </w:p>
    <w:p>
      <w:r>
        <w:t>C-4240/2019 Seite 20 setzter ihr eine Reduktion ihres Arbeitspensums um 30% in Aussicht ge- stellt habe. Nach ihrem Austritt sei ihre Stelle denn auch nur noch in einem 60% Pensum wieder besetzt worden. Der Beschwerdegegner hält dem entgegen, dass sich aus dem Rapport vom 3. März 2016 zum Projekt «(Name)» ergebe, dass die Bereiche Ver- kauf, Design, Spedition, HR etc. bereits bearbeitet worden seien (vgl. BVGer-act. 15 Beilage 5), weshalb die Beschwerdeführerin nicht mehr um ihre Stelle habe fürchten müssen.</w:t>
      </w:r>
    </w:p>
    <w:p>
      <w:r>
        <w:rPr>
          <w:b/>
        </w:rPr>
        <w:t>E. 7.3.2</w:t>
      </w:r>
    </w:p>
    <w:p>
      <w:r>
        <w:t>Aktenkundig ist ein Zeitungsartikel aus (Zeitung) vom (…) 2016, der von der Übergabe der Geschäftsleitung im Betrieb der Arbeitgeberin per (…) 2016 berichtet und ergänzt, dass der bisherige, eher patronale und autonomere Führungsstil durch eine Leitung abgelöst worden sei, die sich mehr dem Teamgedanken mit klaren Aufgabenteilungen verschrieben habe. Erwähnt werden auch kostensenkende Massnahmen, wobei natürli- che personelle Abgänge nicht ersetzt worden seien. Im Artikel wird aber auch betont, dass man den Personalbestand in der Schweiz halten wolle, um das Angebot und die Kundenbetreuung aufrecht erhalten zu können (BVGer-act. 15 Beilage 6). In den Akten findet sich ferner der Bericht zum Projekt «(Name)» vom Au- gust 2016 (BVGer-act. 15 Beilage 7). Unter der Rubrik Personalentwick- lung in (Ort) und (Ort) wird eine Erneuerung und Verjüngung (des Perso- nals) unter Beibehaltung des Wissens angestrebt sowie die Förderung von flexiblen Arbeitszeiten, flexiblen Pensen und alternativen Arbeitsorganisa- tionsformen. Die Geschäftsleitung erwähnt sodann in einem weiteren Be- richt von (…) 2016 (BVGer-act. 15 Beilage 8), dass sie ihre Prioritäten in fünf Bereiche einteilen wolle und führt hierzu das «Beschützen und Erar- beiten eines modernen HR-Managements» auf. Weiter ergänzt sie ihre Ausführungen wie folgt: «Wissen und Know-how sollen gehalten, weiter- gegeben und erarbeitet werden. Die Motivation der Belegschaft muss ge- zielt gestärkt und gefördert werden. Den neuen Lebensrealitäten soll auch von Seiten des Arbeitgebers Rechnung getragen werden.»</w:t>
      </w:r>
    </w:p>
    <w:p>
      <w:r>
        <w:rPr>
          <w:b/>
        </w:rPr>
        <w:t>E. 7.3.3</w:t>
      </w:r>
    </w:p>
    <w:p>
      <w:r>
        <w:t>Aus dem vorerwähnten Zeitungsartikel und Projektbeschrieb ist er- sichtlich, dass die Unternehmenskultur der Arbeitgeberin verändert und modernisiert bzw. verjüngt werden sollte. Zu berücksichtigen ist in diesem Zusammenhang weiter, dass der Vorgesetzte der Beschwerdeführerin mit einer anderen Funktion betraut wurde, bevor er nach vielen Jahren der Er- werbstätigkeit im Betrieb offenbar vorzeitig in den Ruhestand treten sollte</w:t>
      </w:r>
    </w:p>
    <w:p>
      <w:r>
        <w:t>C-4240/2019 Seite 21 (vgl. Beschwerde vom 21. August 2019 S. 3, BVGer-act. 1). Ebenfalls zu beachten ist, dass die Beschwerdeführerin gemäss ihren Ausführungen nicht mehr zu den Sitzungen der neuen Geschäftsleitung eingeladen wor- den ist (vgl. Beschwerde vom 21. August 2019 S. 3, BVGer-act. 1). Auch wenn damit offenbar keine funktionale Rückstufung der Beschwerdeführe- rin einhergegangen ist, so deutet dies durchaus auf eine gewisse «Degra- dierung» hin. Es ist demzufolge nicht von der Hand zu weisen, dass die Beschwerdefüh- rerin sich unter den gegebenen Umständen nicht mehr in gleichem Masse wertgeschätzt und getragen gefühlt und eine berufliche Veränderung an- gestrebt hat. Dies spricht jedoch noch nicht für eine sog. Angstkündigung im Sinne der Rechtsprechung, insbesondere scheinen die ursprünglichen Absichten der Arbeitgeberin, das Arbeitspensum der Beschwerdeführerin zu reduzieren, seit Frühling 2016 nicht mehr weiterverfolgt worden zu sein. Ebenso ist mit überwiegender Wahrscheinlichkeit davon auszugehen, dass die Geschäftsleitung der Arbeitgeberin im Jahre 2016 den Betrieb noch zu retten versucht hat. Aus dem Gesagten ist demzufolge mit überwiegender Wahrscheinlichkeit (vgl. Urteil des BVGer A-6188/2014 vom 26. September 2016 E. 2.2.1) zu schliessen, dass die Beschwerdeführerin im Herbst 2016 gekündigt hat, weil sie sich mit den mit der Neuorganisation einhergehen- den Veränderungen nicht mehr identifizieren konnte (vgl. hiervor E. 4.3, 2. Absatz). Folglich ist nicht zu beanstanden, dass der Stiftungsrat bzw. die Vorinstanz nicht von einer Angstkündigung ausgegangen sind.</w:t>
      </w:r>
    </w:p>
    <w:p>
      <w:r>
        <w:rPr>
          <w:b/>
        </w:rPr>
        <w:t>E. 7.4</w:t>
      </w:r>
    </w:p>
    <w:p>
      <w:r>
        <w:t>Die Beschwerdeführerin macht schliesslich geltend, es seien auch an- dere Mitarbeitende in den Destinatärkreis der Teilliquidation aufgenommen worden, «die die Unternehmen auf eigenen Wunsch hin verlassen haben» (Beschwerde vom 21. August 2019 S. 6, BVGer-act. 1). Soweit sich die Beschwerdeführerin mit ihrer nicht näher substantiierten Behauptung auf im Verteilplan aufgeführte Mitarbeitende bezieht, die am Stichtag vom 30. September 2018 noch in einem von ihnen selbst gekün- digten Arbeitsverhältnis gestanden haben, unterscheidet sich deren Situa- tion gegenüber derjenigen der Beschwerdeführerin insofern, als die Be- schwerdeführerin bereits mit Wirkung per Ende Februar 2017 definitiv aus der Arbeitgeberin ausgeschieden ist. Es ist daher nicht zu beanstanden, wenn der Stiftungsrat und die Vorinstanz die zu unterschiedlichen Zeit- punkten erfolgten freiwilligen Austritte unter den gegebenen Umständen auch unterschiedlich behandelt haben.</w:t>
      </w:r>
    </w:p>
    <w:p>
      <w:r>
        <w:t>C-4240/2019 Seite 22</w:t>
      </w:r>
    </w:p>
    <w:p>
      <w:r>
        <w:rPr>
          <w:b/>
        </w:rPr>
        <w:t>E. 8</w:t>
      </w:r>
    </w:p>
    <w:p>
      <w:r>
        <w:t>Zusammenfassend ergibt sich, dass es nicht zu beanstanden ist, wenn der Stiftungsrat bzw. die Vorinstanz für die Bestimmung des Destinatärkreises für die Teilliquidation einen Stichtag festgesetzt haben. Des Weiteren fällt die Kündigung der Beschwerdeführerin nicht unter den Tatbestand der sog. Angstkündigungen und ist es nicht zu beanstanden, wenn sie im Verteilplan nicht berücksichtigt worden ist. Demzufolge ist die Beschwerde abzuwei- sen.</w:t>
      </w:r>
    </w:p>
    <w:p>
      <w:r>
        <w:rPr>
          <w:b/>
        </w:rPr>
        <w:t>E. 9.1</w:t>
      </w:r>
    </w:p>
    <w:p>
      <w:r>
        <w:t>Die Beschwerdeinstanz auferlegt die Verfahrenskosten in der Regel der unterliegenden Partei (Art. 63 Abs. 1 VwVG). Als unterliegende Partei wird die Beschwerdeführerin kostenpflichtig. Die Spruchgebühr richtet sich nach Umfang und Schwierigkeit der Streitsache, Art der Prozessführung und finanzieller Lage der Parteien (vgl. Art. 63 Abs. 4 bis VwVG). Für das vorliegende Verfahren sind die Verfahrenskosten auf Fr. 1'000.- festzuset- zen. Der Kostenvorschuss in gleicher Höhe ist für die Bezahlung der Ver- fahrenskosten zu verwenden.</w:t>
      </w:r>
    </w:p>
    <w:p>
      <w:r>
        <w:rPr>
          <w:b/>
        </w:rPr>
        <w:t>E. 9.2</w:t>
      </w:r>
    </w:p>
    <w:p>
      <w:r>
        <w:t>Gemäss Art. 64 Abs. 1 VwVG hat die obsiegende Partei Anspruch auf eine Parteientschädigung für die ihr erwachsenen notwendigen und ver- hältnismässig hohen Kosten (vgl. auch Art. 7 ff. des Reglements vom 21. Februar 2008 über die Kosten und Entschädigungen vor dem Bundes- verwaltungsgericht [VGKE, SR 173.320.2]). Der unterliegenden Beschwer- deführerin ist keine Parteientschädigung auszurichten (Art. 64 Abs. 1 VwVG e contrario). Die Vorinstanz hat ebenfalls keinen Anspruch auf eine Parteientschädigung (Art. 7 Abs. 3 VGKE). Dasselbe gilt für den Beschwer- degegner; das Eidgenössische Versicherungsgericht (heutiges Bundesge- richt) hat mit Urteil vom 3. April 2000 erwogen, dass Trägerinnen oder Ver- sicherer der beruflichen Vorsorge grundsätzlich keinen Anspruch auf Par- teientschädigung haben (BGE 126 V 143 E. 4). Diese Praxis wird vom Bun- desverwaltungsgericht in ständiger Rechtsprechung auch im Rahmen von Aufsichtsstreitigkeiten analog angewendet (vgl. Urteile des BVGer C-5858/2019 vom 23. Juni 2021 E. 9.3, A-3829/2019 vom 29. September 2020 E. 4.2, A-663/2018 vom 29. Mai 2020 E. 9.3, A-3146/2018 vom 24. Januar 2019 E. 3.2). Entgegen der Ansicht des Beschwerdegegners ist im hier zu beurteilenden Fall nicht von einer mutwilligen Prozessführung der Beschwerdeführerin auszugehen, weshalb ihm auch aus diesem Grunde keine Prozessentschädigung zuzusprechen ist.</w:t>
      </w:r>
    </w:p>
    <w:p>
      <w:r>
        <w:t>C-4240/2019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