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C-4239/2009 vom 11. Februar 2011</w:t>
      </w:r>
    </w:p>
    <w:p>
      <w:r>
        <w:t>Bundesverwaltungsgericht, 2011-02-11, FR</w:t>
      </w:r>
    </w:p>
    <w:p>
      <w:r>
        <w:rPr>
          <w:b/>
        </w:rPr>
        <w:t xml:space="preserve">Quelle: </w:t>
      </w:r>
      <w:r>
        <w:t>https://mcp.opencaselaw.ch/entscheid/bvger_C-4239_2009</w:t>
      </w:r>
    </w:p>
    <w:p>
      <w:r>
        <w:t>FR: TAF C-4239/2009 du 11 février 2011</w:t>
      </w:r>
    </w:p>
    <w:p>
      <w:r>
        <w:t>IT: TAF C-4239/2009 del 11 febbraio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5</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 Il reste dès lors à examiner si l'intéressé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teneur antérieure au 1er janvier 2008, art. 28 al. 2 depuis cette date),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Le 19 décembre 2007, X._______ a été victime d'un accident cardiaque qui a nécessité son hospitalisation ainsi qu'une intervention d'urgence. Depuis sa sortie de l'hôpital le 26 décembre 2007, il n'a pas repris d'activité lucrative et a été reconnu comme entièrement invalide par l'INSS à partir du 29 août 2008. Il a demandé l'équivalence de ce statut en Suisse, afin de bénéficier d'une rente entière, ou d'une rente adaptée à son état de santé. L'OAIE a, de son côté, soutenu que le recourant était, malgré ses faiblesses cardiaques, encore en mesure d'exercer à plein temps une activité de substitution dans des travaux légers et adaptés, de sorte qu'il ne pouvait se prévaloir d'une perte de gain suffisante pour ouvrir le droit à une rente AI.</w:t>
      </w:r>
    </w:p>
    <w:p>
      <w:r>
        <w:rPr>
          <w:b/>
        </w:rPr>
        <w:t>E. 10</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espagnole ne lient donc pas les autorités suisses (ATF 130 V 253 consid. 2.4, arrêt du Tribunal fédéral I 435/02 du 4 février 2003 consid. 2). Partant, l'OAIE pouvait parfaitement s'écarter de la décision de l'INSS du 4 septembre 2008 de reconnaître au recourant une incapacité de travail totale et permanente.</w:t>
      </w:r>
    </w:p>
    <w:p>
      <w:r>
        <w:rPr>
          <w:b/>
        </w:rPr>
        <w:t>E. 11.1</w:t>
      </w:r>
    </w:p>
    <w:p>
      <w:r>
        <w:t>En l'espèce, il est constant que le recourant a été victime d'un accident cardiaque le 19 décembre 2007. Les médecins qui l'ont pris en charge à l'Hôpital universitaire de Y._______ ont posé comme diagnostic principal une cardiopathie coronarienne aiguë qui a été traitée par angioplastie (PTCA) avec pose d'un stent pour éviter la reformation d'un rétrécissement artériel. Les examens pratiqués à cette occasion ont décelé une vraisemblable myocardiopathie hypertrophique non obstructive et asymptomatique. Les médecins ont souligné que l'hygiène de vie de X._______ l'exposait à un risque accru de problèmes cardiaques. L'intéressé a pu quitter l'hôpital le 26 décembre 2007. Il lui a été conseillé de suivre un régime particulier, d'éviter de fumer, de pratiquer du sport (au moins une heure par jour) en évitant des efforts intenses ou prolongés, et de surveiller sa tension artérielle, son taux de cholestérol et son diabète (AI pce 10).</w:t>
      </w:r>
    </w:p>
    <w:p>
      <w:r>
        <w:rPr>
          <w:b/>
        </w:rPr>
        <w:t>E. 11.2</w:t>
      </w:r>
    </w:p>
    <w:p>
      <w:r>
        <w:t>Le Dr D._______ de l'INSS a repris cette évaluation dans son rapport E 213 du 26 août 2008 (AI pce 11). Il a ajouté que X._______ se plaignait de douleurs thoraciques (nécessitant la prise de nitroglycérine) et de dyspnée. Il est arrivé à la conclusion que les faiblesses cardiaques de l'intéressé ne lui permettaient plus de travailler dans son ancienne profession de maçon coffreur, car il n'était plus à même de réaliser des travaux mi-lourds ou lourds. Ce constat l'a amené à se prononcer en faveur d'une incapacité de travail totale de X._______. Cela étant, le Dr D._______ a clairement indiqué dans ce même rapport médical que le patient était en mesure d'effectuer un travail à l'écran, sans être tributaire de l'aide d'un tiers sur son lieu de travail ou à son domicile. Il a ajouté que X._______ gardait la possibilité de pratiquer un travail adapté, même s'il n'a pas fourni d'exemples. Le discours qui a été tenu par la Dresse E._______ dans sa prise de position médicale du 11 janvier 2009 est, pour ainsi dire, identique (AI pce 13). La Dresse E._______ a en effet considéré que le syndrome coronarien avait engendré pour le recourant une incapacité de travail de 50% dans son ancienne profession, puisque celui-ci ne pouvait désormais plus porter de lourdes charges. A noter que ce taux est relativement proche des 55% de perte économique évoqué par le recourant au sein de ses observations du 26 mars 2009 (AI pce 17). Par ailleurs, la Dresse E._______ a relevé que l'intervention pratiquée à l'Hôpital universitaire de Y._______ avait été couronnée de succès, puisqu'elle avait permis de traiter efficacement la cardiopathie ischémique, avec capacité du ventricule gauche sauvegardée à 83%. Elle en a déduit que l'accident vasculaire de décembre 2007 n'avait, d'un point de vue clinique, pas causé d'insuffisance cardiaque. Quant aux douleurs thoraciques et dyspnée, elles devaient avoir pour origine un manque d'entraînement physique plutôt qu'une genèse cardiaque. Selon elle, X._______ était donc capable de travailler dans des activités légères ou mi-lourdes à 100% dès le 26 décembre 2007, date de sa sortie d'hôpital.</w:t>
      </w:r>
    </w:p>
    <w:p>
      <w:r>
        <w:rPr>
          <w:b/>
        </w:rPr>
        <w:t>E. 11.3</w:t>
      </w:r>
    </w:p>
    <w:p>
      <w:r>
        <w:t>Constatant que les avis médicaux des praticiens consultés se rejoignent, le Tribunal ne voit pas de raisons de s'en écarter, d'autant que le recourant n'a fourni aucune pièce médicale susceptible de les contredire. Chacun des médecins a admis que X._______ avait bien récupéré de son accident vasculaire. Si la poursuite de la profession de maçon était compromise, voire impossible, tant le Dr Fernandez que la Dresse E._______ ont souligné que le recourant pouvait continuer à exercer un travail adapté à temps complet. La seule différence que l'on note est que le Dr D._______ a contre-indiqué tous travaux mi-lourds ou lourds, alors que la Dresse E._______ n'a exclu que les derniers. Toutefois, même si par principe de précaution, le Tribunal devait se rallier à l'avis du Dr D._______, il doit reconnaître que la liste des professions exigibles proposées par la Dresse E._______ présente un large éventail d'activités légères, notamment dans le commerce de détails, l'administration ou les services, parfaitement adaptées à l'état de santé de X._______ car tenant compte de ses antécédents cardiaques. En conséquence, le Tribunal peut, conformément aux avis médicaux présents au dossier, retenir que le recourant est apte à travailler à 100% dans une activité de substitution légère depuis le 26 décembre 2007.</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In casu, il s'agit de comparer les revenus en fonction de ce qu'ils étaient, ou auraient pu être, en 2008, douze mois après l'apparition des atteintes causant l'incapacité survenue fin 2007 (art. 29 al. 1 let. b LAI dans sa teneur jusqu'au 31 décembre 2007; ATF 129 V 222 consid. 4.3.1 et 4.4; ATF 128 V 174; arrêt du Tribunal administratif fédéral C-4599/2007 du 27 avril 2009 consid. 10.1). Bien que l'OAIE ait fondé ses calculs sur l'année 2006 au lieu de 2008, la méthode générale d'évaluation des revenus consistant à comparer le salaire que X._______ a pu gagner en Suisse comme maçon avec un revenu théorique dans des activités de substitution simples et légères du domaine privé, demeure correcte.</w:t>
      </w:r>
    </w:p>
    <w:p>
      <w:r>
        <w:rPr>
          <w:b/>
        </w:rPr>
        <w:t>E. 13.2</w:t>
      </w:r>
    </w:p>
    <w:p>
      <w:r>
        <w:t>En l'occurrence, pour fixer le revenu sans invalidité, il faut se baser sur le salaire d'un ouvrier spécialisé dans la construction. Selon l'ESS 2008, table TA1, niveau 3, il en résulte un salaire mensuel de Fr. 5'602.-- pour 40h/sem. et de Fr. 5'826.08 pour 41.6h/sem. (temps de travail hebdomadaire dans ce secteur). Le salaire après invalidité doit également être fixé sur la base de l'ESS 2008. Les activités de substitution proposées correspondent à celles d'un travailleur non qualifié, toutes branches économiques confondues (valeur plus favorable au recourant), car un nombre suffisant d'entre elles peut être exercé en respectant les limitations fonctionnelles décrites par le Dr D._______ et la Dresse E._______, à savoir des activités légères, simples et répétitives, accessibles sans formation professionnelle spécifique. Il faut donc se référer, pour un homme dans le secteur privé, à la table TA1, niveau 4, soit Fr. 4'806.-- pour 40h/sem., et Fr. 4'998.24.-- pour 41.6h/sem. Compte tenu de l'âge du recourant et de ses restrictions personnelles aux activités légères, il se justifie d'opérer, à l'instar de l'administration, une réduction du salaire d'invalide de 15%, l'abaissement maximal admis par la jurisprudence étant de 25% (ATF 126 V 728 consid. 5). Le revenu d'invalide de X._______ se monte ainsi à Fr 4'248.50.</w:t>
      </w:r>
    </w:p>
    <w:p>
      <w:r>
        <w:rPr>
          <w:b/>
        </w:rPr>
        <w:t>E. 13.3</w:t>
      </w:r>
    </w:p>
    <w:p>
      <w:r>
        <w:t>La comparaison du salaire avant invalidité de Fr. 5'826.08 avec celui après invalidité de Fr. 4'248.50, fait apparaître une perte de gain de 27.07% (4'248.50 x 100 : 5'826.08). Ce taux étant inférieur à 40%, il n'ouvre pas le droit à un quart de rente, conformément à ce qui a été retenu par décision du 19 mai 2009 (cf. art. 28 al. 1 LAI dans sa version en vigueur jusqu'au 31.12.2007).</w:t>
      </w:r>
    </w:p>
    <w:p>
      <w:r>
        <w:rPr>
          <w:b/>
        </w:rPr>
        <w:t>E. 14</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Au vu de ce qui précède, le recours du 15 juin 2009 doit être rejeté et la décision du 19 mai 2009 de l'autorité inférieure confirmée.</w:t>
      </w:r>
    </w:p>
    <w:p>
      <w:r>
        <w:rPr>
          <w:b/>
        </w:rPr>
        <w:t>E. 15</w:t>
      </w:r>
    </w:p>
    <w:p>
      <w:r>
        <w:t>Les frais de procédure, fixés à Fr. 300.--, sont mis à la charge du recourant (art. 63 al. 1 PA, applicable par le truchement de l'art. 37 LTAF). Ils sont compensés par l'avance de frais de Fr. 400.-- dont il s'est acquitté au cours de l'instruction, la différence par Fr. 100.-- lui étant restituée par la Caisse su Tribunal. Vu l'issue du litige,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