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C-4231/2014 vom 8. April 2015</w:t>
      </w:r>
    </w:p>
    <w:p>
      <w:r>
        <w:t>Bundesverwaltungsgericht, 2015-04-08, DE</w:t>
      </w:r>
    </w:p>
    <w:p>
      <w:r>
        <w:rPr>
          <w:b/>
        </w:rPr>
        <w:t xml:space="preserve">Quelle: </w:t>
      </w:r>
      <w:r>
        <w:t>https://mcp.opencaselaw.ch/entscheid/bvger_C-4231_2014</w:t>
      </w:r>
    </w:p>
    <w:p>
      <w:r>
        <w:t>FR: TAF C-4231/2014 du 8 avril 2015</w:t>
      </w:r>
    </w:p>
    <w:p>
      <w:r>
        <w:t>IT: TAF C-4231/2014 del 8 aprile 2015</w:t>
      </w:r>
    </w:p>
    <w:p>
      <w:pPr>
        <w:pStyle w:val="Heading2"/>
      </w:pPr>
      <w:r>
        <w:t>Regeste</w:t>
      </w:r>
    </w:p>
    <w:p>
      <w:r>
        <w:t>Einreiseverbot</w:t>
      </w:r>
    </w:p>
    <w:p>
      <w:pPr>
        <w:pStyle w:val="Heading2"/>
      </w:pPr>
      <w:r>
        <w:t>Erwägungen</w:t>
      </w:r>
    </w:p>
    <w:p>
      <w:r>
        <w:rPr>
          <w:b/>
        </w:rPr>
        <w:t>E. 1.1</w:t>
      </w:r>
    </w:p>
    <w:p>
      <w:r>
        <w:t>Einreiseverbote der Vorinstanz sind mit Beschwerde beim Bundesverwaltungsgericht anfechtbar (Art. 31 ff. VGG i.V.m. Art. 5 VwVG). Das Rechtsmittelverfahren richtet sich nach dem VwVG (Art. 37 VGG).</w:t>
      </w:r>
    </w:p>
    <w:p>
      <w:r>
        <w:rPr>
          <w:b/>
        </w:rPr>
        <w:t>E. 1.2</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In formeller Hinsicht ist das Einreiseverbot nicht zu beanstanden. Die angefochtene Verfügung bedurfte, anders als der Beschwerdeführer meint, keiner Unterschrift. Gemäss bundesgerichtlicher Praxis muss eine Verfügung, um gültig zu sein, nicht unterschrieben sein, es sei denn, das anwendbare Recht verlange ausdrücklich eine Unterzeichnung (vgl. Kölz/Häner/Bertschi, Verwaltungsverfahren und Verwaltungsrechtspflege des Bundes, 3. Aufl. 2013, Rz 627). Dies ist bei dem hier anwendbaren Art. 34 VwVG nicht der Fall (zum Unterschriftserfordernis im Falle von Einreiseverboten bzw. Massenverfügungen: vgl. auch Urteil des BVGer C-2492/2008 vom 31. August 2009 E. 3.3.5 f.). Der Einwand des Beschwerdeführers, die Verfügung hätte nach Erlass seinem damaligen Verteidiger zugestellt werden müssen, ist ebenfalls unbeachtlich, denn dessen amtliche Einsetzung betraf lediglich das Strafverfahren. Dem Beschwerdeführer, selbst Jurist, wurde vor Erlass der Fernhaltemassnahme immerhin die Möglichkeit eingeräumt, sich hierzu äussern. Eine Verletzung seines Anspruchs auf rechtliches Gehör ist damit nicht erkennbar.</w:t>
      </w:r>
    </w:p>
    <w:p>
      <w:r>
        <w:rPr>
          <w:b/>
        </w:rPr>
        <w:t>E. 4</w:t>
      </w:r>
    </w:p>
    <w:p>
      <w:r>
        <w:t>Der Beschwerdeführer ist Deutscher und damit Staatsangehöriger einer Vertragspartei des Freizügigkeitsabkommens (FZA, SR 0.142.112.681). Gemäss Art. 2 Abs. 2 des Ausländergesetzes (AuG, SR 142.20) ist das ordentliche Ausländerrecht - bestehend aus dem AuG und seinen Ausführungsverordnungen - auf ihn nur insoweit anwendbar, als das FZA keine abweichenden Bestimmungen enthält oder die Bestimmungen des ordentlichen Ausländerrechts günstiger sind.</w:t>
      </w:r>
    </w:p>
    <w:p>
      <w:r>
        <w:rPr>
          <w:b/>
        </w:rPr>
        <w:t>E. 5.1</w:t>
      </w:r>
    </w:p>
    <w:p>
      <w:r>
        <w:t>Landesrechtliche Grundlage der angefochtenen Verfügung bildet Art. 67 AuG, der in den Absätzen 1 und 2 eine Reihe von Tatbeständen vorsieht, welche ein Einreiseverbot nach sich ziehen oder nach sich ziehen können. Ein solches fällt gemäss Art. 67 Abs. 2 Bst. a AuG in Betracht, wenn eine ausländische Person gegen die öffentliche Ordnung und Sicherheit in der Schweiz oder im Ausland verstossen hat oder diese gefährdet. Art. 67 Abs. 3 AuG legt fest, dass das Einreiseverbot grundsätzlich für eine Dauer von höchstens fünf Jahren verhängt wird. Diese Höchstdauer kann überschritten werden, wenn von der ausländischen Person eine schwerwiegende Gefahr für die öffentliche Ordnung und Sicherheit ausgeht. Die verfügende Behörde kann aus humanitären oder anderen wichtigen Gründen von der Verhängung eines Einreiseverbotes absehen oder ein bestehendes Einreiseverbot vollständig oder vorübergehend aufheben (Art. 67 Abs. 5 AuG).</w:t>
      </w:r>
    </w:p>
    <w:p>
      <w:r>
        <w:rPr>
          <w:b/>
        </w:rPr>
        <w:t>E. 5.2</w:t>
      </w:r>
    </w:p>
    <w:p>
      <w:r>
        <w:t>Das Einreiseverbot ist eine Massnahme zur Abwendung einer künftigen Störung der öffentlichen Sicherheit und Ordnung (vgl. Botschaft des Bundesrates vom 8. März 2002 zum Bundesgesetz über die Ausländerinnen und Ausländer [nachfolgend: Botschaft zum AuG], BBl 2002 3709, S. 3813). Die öffentliche Sicherheit und Ordnung im Sinne von Art. 67 Abs. 2 Bst. a AuG bildet den Oberbegriff für die Gesamtheit der polizeilichen Schutzgüter; sie umfasst u.a. die Unverletzlichkeit der objektiven Rechtsordnung und der Rechtsgüter Einzelner (vgl. Botschaft zum AuG, S. 3809). In diesem Sinne liegt ein Verstoss gegen die öffentliche Sicherheit und Ordnung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Eine derartige Prognose lässt sich aus dem vergangenen Verhalten des Betroffenen ableiten, was erklärt, warum Art. 67 Abs. 2 Bst. a AuG die Verhängung einer Fernhaltemassnahme mit einem bereits erfolgten Verstoss gegen die fraglichen Polizeigüter verknüpft.</w:t>
      </w:r>
    </w:p>
    <w:p>
      <w:r>
        <w:rPr>
          <w:b/>
        </w:rPr>
        <w:t>E. 5.3</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in Verbindung mit Art. 5 Abs. 2 Anhang I FZA) und die vor diesem Zeitpunkt bestehende, einschlägige Rechtsprechung des Gerichtshofs der Europäischen Gemeinschaft (EuGH) (Art. 16 Abs. 2 FZA).</w:t>
      </w:r>
    </w:p>
    <w:p>
      <w:r>
        <w:rPr>
          <w:b/>
        </w:rPr>
        <w:t>E. 5.4</w:t>
      </w:r>
    </w:p>
    <w:p>
      <w:r>
        <w:t>Abweichungen vom Grundsatz des freien Personenverkehrs sind eng auszulegen. Art. 5 Abs. 1 Anhang I FZA setzt eine tatsächliche und hinreichend schwere Gefährdung voraus, die ein Grundinteresse der Gesellschaft berührt. Ob dies der Fall ist, beurteilt sich gemäss Art. 3 der Richtlinie 64/221/EWG ausschliesslich nach dem persönlichen Verhalten der betreffenden Person, wobei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demnach Massnahmen entgegen, die im Sinne eines Automatismus an vergangenes Fehlverhalten anknüpfen, und solchen, die aus Gründen der Generalprävention angeordnet werden. Insoweit kommt es wesentlich auf die Beurteilung des Rückfall-risikos an, wobei die in Kauf zu nehmende Rückfallgefahr desto geringer ist, je schwerer die möglichen Rechtsgüterverletzungen wiegen (vgl. BGE 139 II 121 E. 5.3 m.H.).</w:t>
      </w:r>
    </w:p>
    <w:p>
      <w:r>
        <w:rPr>
          <w:b/>
        </w:rPr>
        <w:t>E. 6</w:t>
      </w:r>
    </w:p>
    <w:p>
      <w:r>
        <w:t>Die Vorinstanz hat in ihrer Verfügung die Befürchtung geäussert, "kriminelle Machenschaften" des Beschwerdeführers in der Schweiz könnten nicht ausgeschlossen werden. Diese Befürchtung begründet sie zum einen mit seinen in Deutschland registrierten Vorstrafen, zum anderen mit "neuen Untersuchungen in der Schweiz bezüglich Urkundenfälschung und diversere undurchsichtigen Finanzgeschäftsführungen"; damit bezieht sie sich auf den ihr von der Kantonspolizei übermittelten Bericht vom 10. April 2012 bzw. das dort erwähnte strafrechtliche Ermittlungsverfahren der Staatsanwaltschaft III des Kantons Zürich. Der Bericht hält hierzu (als "Sachverhalt") fest, dass A._______ am 4. Juli 2007 durch seinen Rechtsvertreter einen gefälschten Check über 3,2 Mio. Franken bei der Zürcher Kantonalbank einreichte. Weiterhin (als "Besondere Bemerkung") führt der Bericht aus, dass sich A._______ vom 12. Dezember 2011 bis zum 9. März 2012 in Untersuchungshaft befand, dies aufgrund von Ermittlungen wegen Urkundenfälschung und Fälschung von Ausweisen. Der Bericht weist ergänzend darauf hin, dass A._______ und zwei Mitbeteiligte "in Verbindung mit etlichen dubiosen und undurchsichtigen Finanzgeschäften" stünden, äussert sich aber nur in allgemeiner Weise zu deren Vorgehensweise, die als "sehr clever und dreist" bezeichnet wird.</w:t>
      </w:r>
    </w:p>
    <w:p>
      <w:r>
        <w:rPr>
          <w:b/>
        </w:rPr>
        <w:t>E. 6.1</w:t>
      </w:r>
    </w:p>
    <w:p>
      <w:r>
        <w:t>Erkennbar stellt die Vorinstanz in ihrer Verfügung lediglich auf den Bericht der Kantonspolizei ab, ohne eigene Abklärungen zu den gegen den Beschwerdeführer erhobenen strafrechtlichen Vorwürfen getroffen zu haben. Die von ihr behaupteten Verstösse können damit nur teilweise präzisiert werden. Konkret ergibt sich aus den Vorakten, dass der Beschwerdeführer in den Jahren 1983 bis 2002 in Deutschland mehrfach verurteilt wurde - ein Registerauszug listet die einzelnen Verurteilungen und Straftatbestände auf - und dass er sich zumindest wegen des Vorwurfs der Urkundenfälschung rund drei Monate in Zürich in Untersuchungshaft befand. Vom Beschwerdeführer wird dieser Sachverhalt auch bestätigt. Fraglich ist, ob sich hieraus eine von ihm ausgehende und ein Einreiseverbot rechtfertigende Gefährdung ableiten lässt.</w:t>
      </w:r>
    </w:p>
    <w:p>
      <w:r>
        <w:rPr>
          <w:b/>
        </w:rPr>
        <w:t>E. 6.2</w:t>
      </w:r>
    </w:p>
    <w:p>
      <w:r>
        <w:t>Den Vorakten zufolge wurde der Beschwerdeführer letztmals am 3. Mai 2002 strafrechtlich verurteilt. Damit liegen die von ihm begangenen Delikte - selbst wenn man die Dauer der zuletzt verbüssten Freiheitsstrafe hinzunimmt (vgl. Sachverhalt A) - zu lange zurück, um aus ihnen auf eine noch aktuell bestehende Gefährdung der öffentlichen Sicherheit und Ordnung schliessen zu können. Anders könnte es sich allerdings verhalten, wenn die strafrechtliche Karriere des Beschwerdeführers mit der letzten abgeurteilten Tat nicht beendet, sondern auf einschlägige Art weitergeführt worden wäre. Insoweit lässt sich der (ein Nebenverfahren betreffenden) staatsanwaltschaftlichen Einstellungsverfügung vom 25. Februar 2015 entnehmen, dass gegen A._______ sowohl in Deutschland (seitens der Staatsanwaltschaft in Pforzheim) als auch in der Schweiz (seitens der Staatsanwaltschaft III des Kantons Zürich) immer noch wegen weiterer Delikte ermittelt wird. Das in diesem Zusammenhang aufgeführte Aktenzeichen C-1/2011/268 weist darauf hin, dass es dabei auch um die Ermittlungen geht, wegen denen der Beschwerdeführer in Zürich in Untersuchungshaft sass (vgl. die mit Replik übersandten Einvernahmeprotokolle).</w:t>
      </w:r>
    </w:p>
    <w:p>
      <w:r>
        <w:rPr>
          <w:b/>
        </w:rPr>
        <w:t>E. 6.3</w:t>
      </w:r>
    </w:p>
    <w:p>
      <w:r>
        <w:t>Wollte der Beschwerdeführer mit der Übersendung der Einstellungsverfügung vom 25. Februar 2015 den Eindruck erwecken, seitdem von jeglichem strafrechtlichen Verdacht frei zu sein, so erreicht er dieses Ziel nicht. Andererseits ist festzustellen, dass den zur Verfügung stehenden Akten nicht entnommen werden kann, bis zu welchem Grad sich die gegen den Beschwerdeführer erhobenen strafrechtlichen Vorwürfe erhärtet haben. Wie bereits erläutert, würde sich die Verhängung einer Fernhaltemassnahme nur dann rechtfertigen, wenn aus persönlichem Verhalten auf eine gegenwärtige und hinreichend schwere Gefährdung der öffentlichen Sicherheit und Ordnung geschlossen werden könnte.</w:t>
      </w:r>
    </w:p>
    <w:p>
      <w:r>
        <w:rPr>
          <w:b/>
        </w:rPr>
        <w:t>E. 6.4</w:t>
      </w:r>
    </w:p>
    <w:p>
      <w:r>
        <w:t>Eine solche Schlussfolgerung setzt nicht voraus, dass es in zeitnaher Vergangenheit zu einer oder mehreren strafrechtlichen Verurteilungen kam. Vielmehr kann ein Verstoss gegen die öffentliche Sicherheit und Ordnung und eine daraus resultierende entsprechende Gefährdung auch unter anderen eindeutigen Umständen angenommen werden, beispielsweise dann, wenn ein Geständnis vorliegt, wenn die Beweislage erdrückend ist oder ansonsten ernsthafte Anhaltspunkte für ein gesetzwidriges Verhalten vorliegen (vgl. auch Botschaft zum AuG S. 3809 in Bezug auf den Widerruf einer Bewilligung bei strafbarem Verhalten).</w:t>
      </w:r>
    </w:p>
    <w:p>
      <w:r>
        <w:rPr>
          <w:b/>
        </w:rPr>
        <w:t>E. 7</w:t>
      </w:r>
    </w:p>
    <w:p>
      <w:r>
        <w:t>Vor dem Hintergrund der vorangegangenen Erwägungen ist festzustellen, dass gewisse Aspekte auf ein gesetzeswidriges Verhalten des Beschwerdeführers in den letzten Jahren hindeuten. Die Vorinstanz hat aber nicht in ausreichender Weise abgeklärt, um welche Delikte es im Einzelnen geht, inwieweit diese einen ernsthaften Tatverdacht begründen und ob dieser Tatverdacht eine vom Beschwerdeführer ausgehende hinreichend schwere Gefahr für die öffentliche Sicherheit und Ordnung erkennen lässt. Demzufolge ist der Sachverhalt, der hinreichenden Anlass für die Verhängung eines Einreiseverbots geben könnte, nicht erstellt.</w:t>
      </w:r>
    </w:p>
    <w:p>
      <w:r>
        <w:rPr>
          <w:b/>
        </w:rPr>
        <w:t>E. 8</w:t>
      </w:r>
    </w:p>
    <w:p>
      <w:r>
        <w:t>Aus den vorstehenden Erwägungen ergibt sich, dass die angefochtene Verfügung Bundesrecht verletzt (vgl. Art. 49 Bst. b VwVG). Die Beschwerde ist daher gutzuheissen und die angefochtene Verfügung aufzuheben. Die Sache ist zu weiteren Abklärungen und zu neuem Entscheid im Sinne der Erwägungen an die Vorinstanz zurückzuwiesen. Mit dem Abschluss dieses Verfahrens wird das am 31. Juli 2014 eingereichte Gesuch des Beschwerdeführers um Wiederherstellung der aufschiebenden Wirkung gegenstandslos.</w:t>
      </w:r>
    </w:p>
    <w:p>
      <w:r>
        <w:rPr>
          <w:b/>
        </w:rPr>
        <w:t>E. 9</w:t>
      </w:r>
    </w:p>
    <w:p>
      <w:r>
        <w:t>Aufgrund der Gutheissung der Beschwerde sind keine Kosten aufzuerlegen (Art. 63 Abs. 1 und 2 VwVG) und der vom Beschwerdeführer geleistete Kostenvorschuss ist zurückzuerstatten. Dem Beschwerdeführer ist für die ihm erwachsenen notwendigen und verhältnismässig hohen Kosten eine Parteientschädigung zuzusprechen (Art. 64 Abs. 1 VwVG und Art. 7 ff. des Reglements vom 21. Februar 2008 über die Kosten und Entschädigungen vor dem Bundesverwaltungsgericht [VGKE, SR 173.320.2]). Dabei ist zu berücksichtigen, dass der Beschwerdeführer erst im Laufe des Verfahrens einen Rechtsvertreter hinzugezogen hat (vgl. Eingabe vom 15. Januar 2015), sodass eine Parteientschädigung von Fr. 900.- angemessen erscheint.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