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C-4224/2007 vom 30. Oktober 2008</w:t>
      </w:r>
    </w:p>
    <w:p>
      <w:r>
        <w:t>Bundesverwaltungsgericht, 2008-10-30, DE</w:t>
      </w:r>
    </w:p>
    <w:p>
      <w:r>
        <w:rPr>
          <w:b/>
        </w:rPr>
        <w:t xml:space="preserve">Quelle: </w:t>
      </w:r>
      <w:r>
        <w:t>https://mcp.opencaselaw.ch/entscheid/bvger_C-4224_2007</w:t>
      </w:r>
    </w:p>
    <w:p>
      <w:r>
        <w:t>FR: TAF C-4224/2007 du 30 octobre 2008</w:t>
      </w:r>
    </w:p>
    <w:p>
      <w:r>
        <w:t>IT: TAF C-4224/2007 del 30 ottobre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casu dem BFM) in pflichtgemässer Ausübung ihres Ermessens zu fällen (Art. 4 und Art. 16 Abs. 1 ANAG, Art. 9 Abs. 1 und Art. 18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4.1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bereits bei 37 % (Tendenz steigend). Der Zuwanderungsdruck aus dieser Region ist dementsprechend hoch, was sich auch in der schweizerischen Asylstatistik widerspiegelt. So stammten im Jahre 2007 9.2 % der Asylsuchenden aus Serbien (inklusive Kosovo) und diese Region steht damit in der Statistik der Asylgesuche nach Nationen an zweiter Stelle. Eine ähnliche Tendenz ergibt sich auch für das laufende Jahr (vgl. BFM-Asylstatistik 3. Quartal 2008).</w:t>
      </w:r>
    </w:p>
    <w:p>
      <w:r>
        <w:rPr>
          <w:b/>
        </w:rPr>
        <w:t>E. 4.5</w:t>
      </w:r>
    </w:p>
    <w:p>
      <w:r>
        <w:t>In Anbetracht der seit längerem schwierigen Lage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5.1</w:t>
      </w:r>
    </w:p>
    <w:p>
      <w:r>
        <w:t>Beim Gesuchsteller handelt es sich um einen 21-jährigen, ledigen Mann, welcher mit seinen Eltern in Hausgemeinschaft lebt (vgl. UNMIK-Bestätigung vom 19. März 2007). Aus dem blossen Umstand, dass er bei einer Ausreise seine Eltern in der Heimat zurücklassen würde, kann der Beschwerdeführer noch nichts für sich ableiten. Irgendwelche besonderen Verantwortlichkeiten oder Abhängigkeiten im Verhältnis zwischen dem Eingeladenen und seinen Eltern werden vom Beschwerdeführer nicht geltend gemacht. Schon rein altersmässig befindet sich der Gesuchsteller in einer Lebensphase, in der man sich in aller Regel vom Elternhaus löst und eine selbständige Lebensplanung in Angriff nimmt.</w:t>
      </w:r>
    </w:p>
    <w:p>
      <w:r>
        <w:rPr>
          <w:b/>
        </w:rPr>
        <w:t>E. 5.2</w:t>
      </w:r>
    </w:p>
    <w:p>
      <w:r>
        <w:t>Bezüglich der beruflichen Situation bestehen widersprüchliche Angaben. Anlässlich der Gesuchseinreichung bezeichnete sich der Eingeladene als arbeitslos (vgl. Ziff. 9 des persönlichen Einreisegesuches vom 24. April 2007), nachdem er in einem Schreiben vom 23. April 2007 gegenüber der Schweizervertretung noch darauf hingewiesen hatte, er sei im Kosovo erwerbstätig und habe kein Interesse, seine Arbeit zu verlieren. Er unterliess es indessen, seine solchermassen behauptete Erwerbstätigkeit näher zu umschreiben und entsprechende Arbeitsbestätigungen oder allfällige Einkommensbelege nachzureichen. Der Beschwerdeführer wiederum hielt gegenüber den kantonalen Behörden bzw. dem Bundesverwaltungsgericht schriftlich fest, der Eingeladene mache eine Berufslehre und werde in einem Jahr seine Ausbildung als Automechaniker abschliessen. Selbst wenn dieser in der Zwischenzeit seine Lehre beendet und ins Berufsleben eingetreten sein sollte (wofür sich aus den Akten allerdings keine Hinweise ergeben), erscheint angesichts seines Alters sowie in Anbetracht der wirtschaftlichen Verhältnisse im Kosovo als wenig wahrscheinlich, dass sich der Gesuchsteller bereits eine gefestigte Existenz hat aufbauen können. Von einer starken (beruflichen) Verwurzelung, die ihn verlässlich von einer Emigration abzuhalten vermöchte, kann jedenfalls zum heutigen Zeitpunkt (noch) nicht ausgegangen werden. Vor diesem Hintergrund müssen die Vorbringen auf Beschwerdeebene, wonach genügend Garantien für eine fristgerechte Wiederausreise vorhanden seien, als nicht ausschlaggebend bezeichnet werden. Im Übrigen hegte auch die Schweizerische Vertretung in Pristina, welche mit den sozialen, wirtschaftlichen und politischen Verhältnissen im Herkunftsstaat des Gesuchstellers gut vertraut ist und sich somit durchaus ein Bild des Einreisewilligen machen kann, grosse Bedenken bezüglich der anstandslosen Wiederausreise und verweigerte formlos die Einreisebewilligung.</w:t>
      </w:r>
    </w:p>
    <w:p>
      <w:r>
        <w:rPr>
          <w:b/>
        </w:rPr>
        <w:t>E. 5.3</w:t>
      </w:r>
    </w:p>
    <w:p>
      <w:r>
        <w:t>Nach dem Gesagten durfte die Vorinstanz - wie bereits in ihrer Verfügung vom 26. Juli 2005, bei der ein gleichlautendes Begehren abgewiesen worden war - daher zu Recht davon ausgehen, die Wiederausreise des Gesuchstellers sei im Sinne der massgeblichen Bestimmungen nicht gesichert. An der Richtigkeit dieser Einschätzung ändert auch die Tatsache nichts, dass der Beschwerdeführer die rechtzeitige Rückkehr des eingeladenen Cousins zugesichert hat, denn eine solche Garantie ist trotz bester und ehrlicher Absichten nicht möglich bzw. rechtlich nicht durchsetzbar. Gastgeber können zwar für gewisse finanzielle Risiken im Zusammenhang mit dem Besuchsaufenthalt, nicht aber für ein bestimmes Verhalten ihrer Gäste garantieren (vgl. anstelle vieler: Urteil des Bundesverwaltungsgerichts C-6703/2007 vom 14. Juli 2008 E. 5.4).</w:t>
      </w:r>
    </w:p>
    <w:p>
      <w:r>
        <w:rPr>
          <w:b/>
        </w:rPr>
        <w:t>E. 6</w:t>
      </w:r>
    </w:p>
    <w:p>
      <w:r>
        <w:t>Aus diesen Gründen ist somit nicht zu beanstanden, dass die Vorinstanz das öffentliche Interesse sowie die Beachtung der geltenden Bestimmungen entsprechend gewichtete und dem Gesuchsteller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