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C-4222/2022 vom 15. November 2022</w:t>
      </w:r>
    </w:p>
    <w:p>
      <w:r>
        <w:t>Bundesverwaltungsgericht, 2022-11-15, DE</w:t>
      </w:r>
    </w:p>
    <w:p>
      <w:r>
        <w:rPr>
          <w:b/>
        </w:rPr>
        <w:t xml:space="preserve">Quelle: </w:t>
      </w:r>
      <w:r>
        <w:t>https://mcp.opencaselaw.ch/entscheid/bvger_C-4222_2022</w:t>
      </w:r>
    </w:p>
    <w:p>
      <w:r>
        <w:t>FR: TAF C-4222/2022 du 15 novembre 2022</w:t>
      </w:r>
    </w:p>
    <w:p>
      <w:r>
        <w:t>IT: TAF C-4222/2022 del 15 novembre 2022</w:t>
      </w:r>
    </w:p>
    <w:p>
      <w:pPr>
        <w:pStyle w:val="Heading2"/>
      </w:pPr>
      <w:r>
        <w:t>Regeste</w:t>
      </w:r>
    </w:p>
    <w:p>
      <w:r>
        <w:t>Marktüberwachung</w:t>
      </w:r>
    </w:p>
    <w:p>
      <w:pPr>
        <w:pStyle w:val="Heading2"/>
      </w:pPr>
      <w:r>
        <w:t>Erwägungen</w:t>
      </w:r>
    </w:p>
    <w:p>
      <w:r>
        <w:rPr>
          <w:b/>
        </w:rPr>
        <w:t>E. 1</w:t>
      </w:r>
    </w:p>
    <w:p>
      <w:r>
        <w:t>Auf die Eingabe des Beschwerdeführers vom 21. September 2022 wird nicht eingetreten.</w:t>
      </w:r>
    </w:p>
    <w:p>
      <w:r>
        <w:rPr>
          <w:b/>
        </w:rPr>
        <w:t>E. 2</w:t>
      </w:r>
    </w:p>
    <w:p>
      <w:r>
        <w:t>Das Original der Eingabe des Beschwerdeführers vom 21. September 2022 samt Beilagen und Zustellumschlag wird zuständigkeitshalber an die Vorinstanz zur Durchführung eines in verfahrensrechtlicher Hinsicht kor- rekten Vorbescheidverfahrens und anschliessendem Erlass einer unmiss- verständlichen, beschwerdefähigen Verfügung überwiesen.</w:t>
      </w:r>
    </w:p>
    <w:p>
      <w:r>
        <w:rPr>
          <w:b/>
        </w:rPr>
        <w:t>E. 3</w:t>
      </w:r>
    </w:p>
    <w:p>
      <w:r>
        <w:t>Es werden keine Verfahrenskosten erhoben.</w:t>
      </w:r>
    </w:p>
    <w:p>
      <w:r>
        <w:rPr>
          <w:b/>
        </w:rPr>
        <w:t>E. 4</w:t>
      </w:r>
    </w:p>
    <w:p>
      <w:r>
        <w:t>Es wird keine Parteientschädigung zugesprochen.</w:t>
      </w:r>
    </w:p>
    <w:p>
      <w:r>
        <w:rPr>
          <w:b/>
        </w:rPr>
        <w:t>E. 5</w:t>
      </w:r>
    </w:p>
    <w:p>
      <w:r>
        <w:t>Dieses Urteil geht an den Beschwerdeführer, die Vorinstanz und das VBS.</w:t>
      </w:r>
    </w:p>
    <w:p>
      <w:r>
        <w:t>Für die Rechtsmittelbelehrung wird auf die nächste Seite verwiesen.</w:t>
      </w:r>
    </w:p>
    <w:p>
      <w:r>
        <w:t>Der Einzelrichter: Der Gerichtsschreiber:</w:t>
      </w:r>
    </w:p>
    <w:p>
      <w:r>
        <w:t>Beat Weber Daniel Golta</w:t>
      </w:r>
    </w:p>
    <w:p>
      <w:r>
        <w:t>C-4222/2022 Seite 7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worden ist (Art. 48 Abs. 1 BGG). Die Rechtsschrift ist in einer Amtssprache abzufassen und hat die Begehren, deren Begründung mit Angabe der Beweismittel und die Unterschrift zu enthalten. Der ange- fochtene Entscheid und die Beweismittel sind, soweit sie die beschwerde- 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