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C-4222/2014 vom 3. Dezember 2014</w:t>
      </w:r>
    </w:p>
    <w:p>
      <w:r>
        <w:t>Bundesverwaltungsgericht, 2014-12-03, DE</w:t>
      </w:r>
    </w:p>
    <w:p>
      <w:r>
        <w:rPr>
          <w:b/>
        </w:rPr>
        <w:t xml:space="preserve">Quelle: </w:t>
      </w:r>
      <w:r>
        <w:t>https://mcp.opencaselaw.ch/entscheid/bvger_C-4222_2014</w:t>
      </w:r>
    </w:p>
    <w:p>
      <w:r>
        <w:t>FR: TAF C-4222/2014 du 3 décembre 2014</w:t>
      </w:r>
    </w:p>
    <w:p>
      <w:r>
        <w:t>IT: TAF C-4222/2014 del 3 dicembre 2014</w:t>
      </w:r>
    </w:p>
    <w:p>
      <w:pPr>
        <w:pStyle w:val="Heading2"/>
      </w:pPr>
      <w:r>
        <w:t>Regeste</w:t>
      </w:r>
    </w:p>
    <w:p>
      <w:r>
        <w:t>Schengen-Visum</w:t>
      </w:r>
    </w:p>
    <w:p>
      <w:pPr>
        <w:pStyle w:val="Heading2"/>
      </w:pPr>
      <w:r>
        <w:t>Erwägungen</w:t>
      </w:r>
    </w:p>
    <w:p>
      <w:r>
        <w:rPr>
          <w:b/>
        </w:rPr>
        <w:t>E. 1.1</w:t>
      </w:r>
    </w:p>
    <w:p>
      <w:r>
        <w:t>Aufgrund des engen persönlichen und sachlichen Zusammenhangs rechtfertigt es sich, die bis anhin getrennt geführten Verfahren C 4222/2014 (Beschwerdeführerin 1 betreffend) und C 4333/2014 (Beschwerdeführerin 2 betreffend) zu vereinigen.</w:t>
      </w:r>
    </w:p>
    <w:p>
      <w:r>
        <w:rPr>
          <w:b/>
        </w:rPr>
        <w:t>E. 1.2</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BGG).</w:t>
      </w:r>
    </w:p>
    <w:p>
      <w:r>
        <w:rPr>
          <w:b/>
        </w:rPr>
        <w:t>E. 1.3</w:t>
      </w:r>
    </w:p>
    <w:p>
      <w:r>
        <w:t>Sofern das Verwaltungsgerichtsgesetz nichts anderes bestimmt, rich­tet sich das Verfahren vor dem Bundesverwaltungsgericht nach dem VwVG (Art. 37 VGG).</w:t>
      </w:r>
    </w:p>
    <w:p>
      <w:r>
        <w:rPr>
          <w:b/>
        </w:rPr>
        <w:t>E. 1.4</w:t>
      </w:r>
    </w:p>
    <w:p>
      <w:r>
        <w:t>Die Beschwerdeführerinnen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liegen die Gesuche von zwei pakistanischen Staatsangehörigen um Erteilung von Visa für einen 60-tägigen Aufenthalt in der Schweiz zugrunde. Da sich die Beschwerdeführerinnen nicht auf die EU/EFTA-Personenfreizügigkeitsabkommen berufen können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unterliegen die Beschwerdeführerinnen als pakistanische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Beschwerdeführerinnen anzweifelt. Dazu lassen sich in der Regel keine gesicherten Feststellungen, sondern lediglich Prognosen treffen. Dabei sind sämtliche Umstände des konkreten Einzelfalles zu würdigen.</w:t>
      </w:r>
    </w:p>
    <w:p>
      <w:r>
        <w:rPr>
          <w:b/>
        </w:rPr>
        <w:t>E. 5.3</w:t>
      </w:r>
    </w:p>
    <w:p>
      <w:r>
        <w:t>Vorliegend ist zu prüfen, ob die Vorinstanz unter Berücksichtigung der Verhältnisse im Herkunftsland und der persönlichen Lebensumstände einen ermessensfehlerfreien Entscheid getroffen hat. Dabei rechtfertigt es sich, Einreisegesuchen von Personen aus Staaten mit politisch und/oder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5.4</w:t>
      </w:r>
    </w:p>
    <w:p>
      <w:r>
        <w:t>Die allgemeine Situation in Pakistan wird von der prekären Sicherheitslage dominiert. Immer wieder kommt es zu Terroranschlägen von Extremisten wie den Taliban, insbesondere auch in den Grossstädten wie Karachi, Lahore oder Rawalpindi. Sie richten sich gegen staatliche Einrichtungen der Polizei oder des Militärs. Ziele sind jedoch auch ethnische oder religiöse Minderheiten. Diese Situation wirkt sich - zusammen mit den ihr zugrunde liegenden schwachen staatlichen Strukturen und der verbreiteten Korruption - negativ auf die wirtschaftliche Entwicklung aus. Das effektive Wirtschaftswachstum liegt hinter den Möglichkeiten des Landes zurück. Der Dienstleistungssektor trägt mehr als 50 % zum Bruttoinlandprodukt (BIP) bei, der Industriesektor gut 20 %. Die Landwirtschaft erwirtschaftet zwar nur gut 20 % des BIP, beschäftigt jedoch mehr als 44 % der arbeitenden Bevölkerung. Schwerpunkt der landwirtschaftlichen Produktion liegt in der Provinz Punjab im Osten des Landes. Das durchschnittliche Pro-Kopf-Einkommen betrug 2013 knapp USD 1'300.- (Quellen: Deutsches Auswärtiges Amt, www.auswaertiges-amt.de &gt; Reise &amp; Sicherheit &gt; Reise- und Sicherheitshinweise: Länder A-Z &gt; Pakistan: Wirtschaft bzw. Innenpolitik [Stand Oktober 2014] sowie Reise- und Sicherheitshinweise; International Crisis Group, Policing Urban Violence in Pakistan, Asia Report N°255, 23. Januar 2014; Weltbank, www.worldbank.org &gt; Data &gt; Indicators &gt; GDP per capita (current US$) Pakistan; alle Seiten besucht im November 2014; vgl. auch Urteil des BVGer C-158/2014 vom 12. November 2014 E. 6.2). Vor dem aufgezeigten wirtschaftlichen und politischen Hintergrund ist - vor allem bei jüngeren und ungebundenen Personen - gemeinhin ein starker Migrationsdruck festzustellen. Insbesondere Teile des arabischen Raumes, aber auch Europa und hier unter anderem die Schweiz, gelten als Wunschdestinationen von Menschen im erwerbsfähigen Alter, die auf ein in wirtschaftlicher Hinsicht besseres Leben hoffen. Die Tendenz zur Auswanderung zeigt sich erfahrungsgemäss besonders stark bei Personen, die hier bereits über minimale soziale Kontakte verfügen.</w:t>
      </w:r>
    </w:p>
    <w:p>
      <w:r>
        <w:rPr>
          <w:b/>
        </w:rPr>
        <w:t>E. 5.5</w:t>
      </w:r>
    </w:p>
    <w:p>
      <w:r>
        <w:t>In Anbetracht der nach wie vor schwierigen wirtschaftlichen und politischen Lage in Pakistan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Allerdings wäre es zu schematisch und nicht halt­bar,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Namentlich können berufliche, gesell­schaftliche oder familiäre Verpflichtungen die Prognose einer an­standslosen Wiederausreise begünstigen.</w:t>
      </w:r>
    </w:p>
    <w:p>
      <w:r>
        <w:rPr>
          <w:b/>
        </w:rPr>
        <w:t>E. 6.1</w:t>
      </w:r>
    </w:p>
    <w:p>
      <w:r>
        <w:t>Vorab ist festzuhalten, dass sich der Einwand in der Verfügung der Vorinstanz, wonach das Verwandtschaftsverhältnis zwischen den Beschwerdeführerinnen und ihrem Bruder in der Schweiz nicht rechtsgenüglich nachgewiesen sei, als überholt erweist, nachdem vom Rechtsvertreter im Verlaufe des Beschwerdeverfahrens ein entsprechender, notariell beglaubigter Familienstammbaum zu den Akten gereicht worden ist. Bei der Beschwerdeführerin 1 handelt es sich um eine 65-jährige, seit rund 20 Jahren verwitwete Frau aus dem teilautonomen Gebiet Asad Jammu und Kaschmir im Nordosten Pakistans. An ihrem Wohnort sollen nebst ihrer Schwester - der Beschwerdeführerin 2 - auch zwei Brüder mit deren Familien leben. Ihre Tochter wohnt mit ihrem Ehemann ebenfalls in derselben Region. Diese Gegebenheiten sprechen für eine intakte soziale Struktur und einen engen familiären Bezug zum Heimatland. Auch die 49-jährige Beschwerdeführerin 2 hat stets in Pakistan gelebt. Ihr Wohnhaus, in welchem sie mit ihren drei Kindern und ihrem Ehemann logiert, sofern sich dieser nicht berufshalber in Saudi-Arabien aufhält, soll über acht Zimmer verfügen und für pakistanische Verhältnisse sehr komfortabel sein. Insbesondere der Umstand, dass die Beschwerdeführerinnen für die Dauer des beabsichtigten Aufenthaltes in der Schweiz ihre nächsten Angehörigen in Pakistan zurücklassen würden, lässt auf persönliche Verpflichtungen und daraus auf eine gewisse Verwurzelung schliessen, was die Gefahr einer Emigration im Vergleich zu jüngeren und ungebundenen Landsleuten relativiert (vgl. auch Urteil des BVGer C-4919/2012 vom 18. Januar 2013 E. 6.2).</w:t>
      </w:r>
    </w:p>
    <w:p>
      <w:r>
        <w:rPr>
          <w:b/>
        </w:rPr>
        <w:t>E. 6.2</w:t>
      </w:r>
    </w:p>
    <w:p>
      <w:r>
        <w:t>Auf Beschwerdeebene wird im Weitern vorgebracht, die Beschwerdeführerinnen, deren Vermögen sich auf umgerechnet über CHF 73'000.- bzw. CHF 80'000.- beliefen, verfügten beide über bedeutenden Grundbesitz. Allein mit ihren Plantagen würden sie jährlich mehr als USD 3'000.- resp. USD 4'500.- erwirtschaften (vgl. die zwei bereits anlässlich des Einspracheverfahrens eingereichten Bestätigungen ["Valuation Certificatea"] der Gemeindeverwaltung vom 5. Dezember 2013 sowie den auf Beschwerdeebene eingereichten Grundbuchauszug ["Copy of Ownership of Land"]). Angesichts des oben erwähnten durchschnittlichen Pro-Kopf-Einkommens in Pakistan im Jahre 2013 von knapp USD 1'300.- dürften sich die Eingeladenen in einer finanziell gesicherten Situation befinden. Dies umso mehr, als sie offenbar zusätzlich mit weiteren finanziellen Mitteln ihrer in Saudi-Arabien erwerbstätigen Familienangehörigen rechnen dürfen. Aufgrund der Aktenlage ist demnach davon auszugehen, dass die beiden Beschwerdeführerinnen - entgegen der Ansicht der Vorinstanz - über eine gesicherte wirtschaftliche Existenz in ihrem Heimatland verfügen, die geeignet ist, das Risiko einer nicht fristgerechten Wiederausreise nach einem Besuchsaufenthalt in der Schweiz entscheidend herabzusetzen. Insgesamt betrachtet verfügen die Beschwerdeführerinnen somit durchaus über eine massgebliche familiäre wie auch wirtschaftliche Verankerung im Heimatland. Zudem gehören sie - wie der Rechtsvertreter zu Recht geltend macht - bereits aufgrund ihres Alters nicht (mehr) zur Kategorie der typischen Emigranten aus Pakistan. Bezüglich des Gastgebers und Bruders geht aus den beigezogenen Asylakten (N [...]) hervor, dass dieser am 25. April 1999 in die Schweiz eingereist war und hierzulande ein Asylgesuch gestellt hatte, welches am 22. Oktober 2001 gutgeheissen wurde. Die Gefahr weiterer Zuwanderungen von Familienmitgliedern dürfte schon deshalb klein sein, weil dessen Asylgesuchseinreichung mehr als 15 Jahre zurückliegt. Im fraglichen Jahr (1999) befanden sich immerhin noch 591 Personen aus Pakistan in der Schweiz im Asylprozess. Seitdem ist die Anzahl der Asylsuchenden aus diesem Land stetig zurückgegangen, wobei sich seit 2007 noch durchschnittlich 170 Personen aus Pakistan im Asylprozess befanden (vgl. Asylstatistiken 2007 - 2013 des BFM, im Internet unter: www.bfm.admin.ch &gt; Publikationen &amp; Service &gt; Asylstatistik &gt; Jahresstatistiken). Zudem handelt es sich in casu um zwei verschiedene Ausgangslagen, die sich keineswegs miteinander vergleichen lassen, soll doch der in der Schweiz als Flüchtling anerkannte Gastgeber der Einzige der ganzen Familie gewesen sein, der sich politisch betätigt hat.</w:t>
      </w:r>
    </w:p>
    <w:p>
      <w:r>
        <w:rPr>
          <w:b/>
        </w:rPr>
        <w:t>E. 6.3</w:t>
      </w:r>
    </w:p>
    <w:p>
      <w:r>
        <w:t>Im Weitern gilt es festzuhalten, dass im vorliegenden Fall keine Zweifel am deklarierten Aufenthaltszweck (Besuchsaufenthalt; vgl. Art. 16 i.V.m. Art. 12 Abs. 2 Bst. c in fine VEV) bestehen, haben doch die Beschwerdeführerinnen ihren Bruder, der als anerkannter Flüchtling seine Angehörigen nicht im Heimatland besuchen darf, seit mehr als 15 Jahren nicht mehr gesehen. Die Interessen der Beschwerdeführerinnen sowie der Familienangehörigen in der Schweiz am geplanten Besuchsaufenthalt liegen auf der Hand und sind durchaus als gewichtig anzusehen. Demgegenüber sind keine überwiegenden öffentlichen Interessen ersichtlich, die für eine Aufrechterhaltung der Einreiseverweigerungen sprächen. Nicht zuletzt gilt es dem Umstand Rechnung zu tragen, dass der Gastgeber in der Vergangenheit wiederholt Personen aus seinem familiären Umfeld zu sich in die Schweiz einladen konnte (vgl. den vom Gastgeber ausgefüllten kantonalen Fragebogen sowie die Ausführungen in Ziff. 3e der Beschwerdeschrift). Aus den Akten ergeben sich keine Hinweise, wonach die Eingeladenen nach ihrem Besuchsaufenthalt nicht fristgerecht nach Pakistan zurückgekehrt wären.</w:t>
      </w:r>
    </w:p>
    <w:p>
      <w:r>
        <w:rPr>
          <w:b/>
        </w:rPr>
        <w:t>E. 7</w:t>
      </w:r>
    </w:p>
    <w:p>
      <w:r>
        <w:t>Aus vorstehenden Erwägungen ergibt sich, dass in casu keine Hinderungsgründe im Sinne von Art. 5 SGK bzw. Art. 5 AuG erkennbar sind. Indem die Vorinstanz den entscheidsrelevanten Sachverhalt wesentlich anders gewichtete, hat sie Bundesrecht verletzt (Art. 49 Bst. a VwVG). Die Be­schwerde ist daher gutzuheissen, die angefochtene Verfügung auf­zuheben und die Sache zur neuerlichen Beurteilung an die Vorinstanz zurückzuweisen. Dabei ist vom BFM abzuklären, ob die in Art. 2 Abs. 1 VEV genannten Einreisevoraussetzungen gemäss Schengener Grenz­kodex erfüllt sind oder allenfalls gemäss Art. 2 Abs. 4 VEV aus huma­nitären Gründen Visa mit räumlich beschränkter Gültigkeit zu er­teilen sind.</w:t>
      </w:r>
    </w:p>
    <w:p>
      <w:r>
        <w:rPr>
          <w:b/>
        </w:rPr>
        <w:t>E. 8</w:t>
      </w:r>
    </w:p>
    <w:p>
      <w:r>
        <w:t>Bei diesem Ausgang des Verfahrens sind keine Kosten aufzuerlegen (Art. 63 Abs. 1 und 2 VwVG) und die geleisteten Kostenvorschüsse von insgesamt Fr. 1'000.- sind zurückzuerstatten.</w:t>
      </w:r>
    </w:p>
    <w:p>
      <w:r>
        <w:rPr>
          <w:b/>
        </w:rPr>
        <w:t>E. 9</w:t>
      </w:r>
    </w:p>
    <w:p>
      <w:r>
        <w:t>Die Beschwerdeführerinnen haben gemäss Art. 64 Abs. 1 VwVG Anrecht auf eine Parteientschädigung für die ihnen erwachsenen notwendigen und verhältnismässig hohen Kosten (vgl. auch Art. 7 ff. des Reglements vom 21. Februar 2008 über die Kosten und Entschädigungen vor dem Bundesverwaltungsgericht [VGKE, SR 173.320.2]). Diese Entschädigung geht zu Lasten der Vorinstanz (vgl. Art. 64 Abs. 2 VwVG). Es wurde keine Kostennote eingereicht, so dass das Gericht die Parteientschädigung aufgrund der Akten (vgl. Art. 14 VGKE i.V.m. Art. 10 Abs. 2 VGKE) festsetzt.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