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C-4222/2009 vom 7. April 2010</w:t>
      </w:r>
    </w:p>
    <w:p>
      <w:r>
        <w:t>Bundesverwaltungsgericht, 2010-04-07, FR</w:t>
      </w:r>
    </w:p>
    <w:p>
      <w:r>
        <w:rPr>
          <w:b/>
        </w:rPr>
        <w:t xml:space="preserve">Quelle: </w:t>
      </w:r>
      <w:r>
        <w:t>https://mcp.opencaselaw.ch/entscheid/bvger_C-4222_2009</w:t>
      </w:r>
    </w:p>
    <w:p>
      <w:r>
        <w:t>FR: TAF C-4222/2009 du 7 avril 2010</w:t>
      </w:r>
    </w:p>
    <w:p>
      <w:r>
        <w:t>IT: TAF C-4222/2009 del 7 aprile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celui-là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(cf. pce 1 TAF) et la forme prescrits (art. 60 LPGA et 52 PA), il est entré en matière sur le fond du recours.</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Les dispositions de la 5ème révision de la LAI entrées en vigueur le 1er janvier 2008 sont donc applicables. En ce qui concerne les faits déterminants, selon la jurisprudence, le Tribunal de céans doit se limiter à examiner la situation de fait existant jusqu'à la date de la décision attaquée (ATF 130 V 445 consid. 1.2).</w:t>
      </w:r>
    </w:p>
    <w:p>
      <w:r>
        <w:rPr>
          <w:b/>
        </w:rPr>
        <w:t>E. 4.1</w:t>
      </w:r>
    </w:p>
    <w:p>
      <w:r>
        <w:t>Tout requérant doit remplir cumulativement les conditions suivantes pour avoir droit à une rente de l'assurance-invalidité suisse: être invalide au sens de la LPGA/LAI et avoir versé des cotisations à l'AVS/AI suisse durant trois années au moins (art. 36 LAI).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w:t>
      </w:r>
    </w:p>
    <w:p>
      <w:r>
        <w:rPr>
          <w:b/>
        </w:rPr>
        <w:t>E. 4.2</w:t>
      </w:r>
    </w:p>
    <w:p>
      <w:r>
        <w:t>En l'occurrence, le recourant a versé des cotisations à l'AVS/AI pendant plus de trois années au total (cf. pces 27 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à trois-quarts de rente s'il est invalide à 60% et à une rente entière s'il est invalide à 70% au moins (art. 28 al. 2 LAI). Toutefois, les rentes correspondant à un taux d'invalidité inférieur à 50% ne sont, en application de art. 29 al. 4 LAI, versées qu'aux assurés qui ont leur domicile et leur résidence habituelle en Suisse (art. 13 LPGA).</w:t>
      </w:r>
    </w:p>
    <w:p>
      <w:r>
        <w:rPr>
          <w:b/>
        </w:rPr>
        <w:t>E. 5.3</w:t>
      </w:r>
    </w:p>
    <w:p>
      <w:r>
        <w:t>Conformément à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En outre, le droit à la rente prend naissance au plus tôt à l'échéance d'une période de 6 mois à compter de la date à laquelle l'assuré a fait valoir son droit aux prestations (art. 29 al. 1 LAI).</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w:t>
      </w:r>
    </w:p>
    <w:p>
      <w:r>
        <w:t>Le recourant a travaillé en Suisse du 1er juillet 1997 au 31 décembre 2000. Il a exercé, de 1970 à 1974, l'activité d'employé administratif, de 1991 à 2006, l'activité consistant dans la préparation et l'emballage de jus de fruit à raison de 60 heures par semaine, puis, à compter de 2006, la profession de jardinier à raison de 14 heures par semaine. L'assuré a, en mai 2008, cessé de travailler pour des raisons de santé.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w:t>
      </w:r>
    </w:p>
    <w:p>
      <w:r>
        <w:t>L'art. 69 al. 2 et 3 du règlement sur l'assurance-invalidité du 17 janvier 1961 (RAI, RS 831.201)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Les Offices de l'assurance-invalidité peuvent convoquer les assurés à un entretien, la date de celui-ci devant leur être communiquée dans un délai approprié.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8.1</w:t>
      </w:r>
    </w:p>
    <w:p>
      <w:r>
        <w:t>En l'espèce, il est établi que le recourant souffre essentiellement d'une arthrite rhumatoïde, d'importantes limitations fonctionnelles, d'un diabète de type II, d'une diminution de la vision tridimensionnelle et de l'acuité visuelle, ainsi que d'hypertonie artérielle de grade II.</w:t>
      </w:r>
    </w:p>
    <w:p>
      <w:r>
        <w:rPr>
          <w:b/>
        </w:rPr>
        <w:t>E. 8.2</w:t>
      </w:r>
    </w:p>
    <w:p>
      <w:r>
        <w:t>L'OAIE retient que si le recourant ne peut plus reprendre sa dernière activité de jardinier, il pourrait cependant exercer à plein temps une activité légère et adaptée, à l'exemple d'une activité d'ouvrier non qualifié/manoeuvre, surveillant de parking/musée, magasinier, petites livraisons avec véhicule, réparation de petits appareils/articles. Dans cette mesure, sa perte de gain serait, à l'avis de l'Office, insuffisante pour ouvrir le droit à une rente de l'assurance-invalidité. Le recourant a, quant à lui, avancé ne plus pouvoir exercer d'activité lucrative et conclu partant à l'octroi d'une rente entière d'invalidité.</w:t>
      </w:r>
    </w:p>
    <w:p>
      <w:r>
        <w:rPr>
          <w:b/>
        </w:rPr>
        <w:t>E. 8.3</w:t>
      </w:r>
    </w:p>
    <w:p>
      <w:r>
        <w:t>Force est pour le Tribunal de céans de constater qu'en l'occurrence les documents médicaux objectifs ne sont pas légion. Presque l'entier de la documentation médicale versée aux actes est, au demeurant, illisible ou sans pertinence pour la présente cause (cf. pces 18 à 23). En définitive, seul le rapport du 1er septembre 2008 des Drs B._______ d'une Commission médicale d'Argentine permet d'apprécier l'état de santé du recourant (pce 26). Or, ces médecins, dans leurs conclusions, ont expressément retenu que les affections dont souffre le recourant étaient invalidantes et qu'il ne pouvait dès lors plus exercer d'activité lucrative. L'autorité inférieure ne saurait, partant, en l'absence de pièces objectives - à l'exemple d'un échocardiogramme, d'un électrocardiogramme, de constatations et d'appréciations rhumatologique et ophtalmologique émanant de spécialistes - aboutir à une conclusion contraire. Il est en effet, en l'état de dossier, bien incertain d'évaluer l'incidence de l'arthrite rhumatoïde, des limitations fonctionnelles, de l'hypertonie artérielle ou de la limitation de l'acuité visuelle et du champ de vision sur la capacité de travail du recourant. Il apparaît en particulier délicat, eu égard à l'affection ophtalmologique que présente le recourant, d'affirmer que ce dernier pourrait exercer l'activité de gardien de parking/musée ou conduire régulièrement un véhicule pour effectuer des livraisons. Il sied de relever encore que l'activité de jardinier, qui a été considérée comme inconciliable avec la situation clinique de l'assuré par l'autorité inférieure, a explicitement été qualifié de légère par le dernier employeur du recourant (pce 10).</w:t>
      </w:r>
    </w:p>
    <w:p>
      <w:r>
        <w:rPr>
          <w:b/>
        </w:rPr>
        <w:t>E. 8.4</w:t>
      </w:r>
    </w:p>
    <w:p>
      <w:r>
        <w:t>Le Tribunal de céans considère, eu égard à ce qui précède, que le dossier du recourant n'a pas été instruit à satisfaction de droit par l'autorité inférieure. Le recours doit, partant, être partiellement admis, en ce sens que la décision attaquée doit être annulée et la cause renvoyée à l'OAIE, afin que celui-ci prenne une nouvelle décision après avoir procédé à une instruction complémentaire. L'autorité inférieure diligentera en particulier une expertise rhumatologique, ophtalmologique et cardiologique (art. 61 PA).</w:t>
      </w:r>
    </w:p>
    <w:p>
      <w:r>
        <w:rPr>
          <w:b/>
        </w:rPr>
        <w:t>E. 9.1</w:t>
      </w:r>
    </w:p>
    <w:p>
      <w:r>
        <w:t>Selon la jurisprudence, la partie qui a formé recours est réputée avoir obtenu gain de cause lorsque la cause est renvoyée à l'administration pour instruction complémentaire et nouvelle décision (ATF 132 V 215 consid. 6.2). Il ne doit donc pas être perçu de frais de procédure (art. 63 al. 2 PA, applicable par renvoi de l'art. 37 LTAF).</w:t>
      </w:r>
    </w:p>
    <w:p>
      <w:r>
        <w:rPr>
          <w:b/>
        </w:rPr>
        <w:t>E. 9.2</w:t>
      </w:r>
    </w:p>
    <w:p>
      <w:r>
        <w:t>La requête d'assistance judiciaire tendant à l'exonération des frais de procédure est dès lors sans objet.</w:t>
      </w:r>
    </w:p>
    <w:p>
      <w:r>
        <w:rPr>
          <w:b/>
        </w:rPr>
        <w:t>E. 9.3</w:t>
      </w:r>
    </w:p>
    <w:p>
      <w:r>
        <w:t>Le recourant n'étant pas représenté, il ne lui est pas alloué de dépens (art. 7 ss du règlement du 21 février 2008 concernant les frais, dépens et indemnités fixés par le TAF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