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C-4221/2011 vom 24. Januar 2014</w:t>
      </w:r>
    </w:p>
    <w:p>
      <w:r>
        <w:t>Bundesverwaltungsgericht, 2014-01-24, DE</w:t>
      </w:r>
    </w:p>
    <w:p>
      <w:r>
        <w:rPr>
          <w:b/>
        </w:rPr>
        <w:t xml:space="preserve">Quelle: </w:t>
      </w:r>
      <w:r>
        <w:t>https://mcp.opencaselaw.ch/entscheid/bvger_C-4221_2011</w:t>
      </w:r>
    </w:p>
    <w:p>
      <w:r>
        <w:t>FR: TAF C-4221/2011 du 24 janvier 2014</w:t>
      </w:r>
    </w:p>
    <w:p>
      <w:r>
        <w:t>IT: TAF C-4221/2011 del 24 gennaio 2014</w:t>
      </w:r>
    </w:p>
    <w:p>
      <w:pPr>
        <w:pStyle w:val="Heading2"/>
      </w:pPr>
      <w:r>
        <w:t>Regeste</w:t>
      </w:r>
    </w:p>
    <w:p>
      <w:r>
        <w:t>Einreiseverbot</w:t>
      </w:r>
    </w:p>
    <w:p>
      <w:pPr>
        <w:pStyle w:val="Heading2"/>
      </w:pPr>
      <w:r>
        <w:t>Erwägungen</w:t>
      </w:r>
    </w:p>
    <w:p>
      <w:r>
        <w:rPr>
          <w:b/>
        </w:rPr>
        <w:t>E. 1.1</w:t>
      </w:r>
    </w:p>
    <w:p>
      <w:r>
        <w:t>Verfügungen des BFM, mit denen ein Einreiseverbot im Sinne von Art. 67 AuG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und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Das Bundesamt kann sodann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dient der Abwendung künftiger Störungen der öffentlichen Ordnung und Sicherheit (BBl 2002 3709, 3813). Soweit Art. 67 Abs. 2 Bst. a AuG mit dem Verstoss gegen die öffentliche Sicherheit und Ordnung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5.1</w:t>
      </w:r>
    </w:p>
    <w:p>
      <w:r>
        <w:t>Schon allein in der wiederholten Missachtung von behördlich festgelegten Ausreisefristen (Art. 67 Abs. 1 Bst. b AuG), aber auch in der Verursachung von Sozialhilfekosten und der behördlich verfügten Ausschaffungshaft sind beim Beschwerdeführer eigenständige Gründe für eine Fernhaltemassnahme gegeben (Art. 67 Abs. 2 Bst. b und c AuG). In Anbetracht der abgeurteilten Delinquenz sowie angesichts der systematischen Missachtung und Hintertreibung behördlicher Anordnungen durch Angabe falscher Identitäten, Einreichung eines missbräuchlichen Asylgesuches und in der permanenten Weigerung, die Schweiz zu verlassen ist aber in erster Linie der Fernhaltegrund einer Störung der öffentlichen Sicherheit und Ordnung durch den Beschwerdeführer zu bejahen.</w:t>
      </w:r>
    </w:p>
    <w:p>
      <w:r>
        <w:rPr>
          <w:b/>
        </w:rPr>
        <w:t>E. 5.2</w:t>
      </w:r>
    </w:p>
    <w:p>
      <w:r>
        <w:t>Der Beschwerdeführer wurde über einen langen Zeitraum und bis in jüngste Zeit hinein straffällig. Ein grosser Teil dieser Delinquenz stand im Zusammenhang mit Drogenmissbrauch. Dabei ging es zwar vor allem um Haschisch und damit um sogenannt weiche Drogen. Der Beschwerdeführer hat aber auch immer wieder harte Drogen wie Kokain und Heroin gekauft, aufbewahrt und konsumiert. Damit ist er immer wieder in einem besonders sensiblen Bereich straffällig geworden, in dem selbst ein geringes Restrisiko weiterer Rechtsverletzungen nicht in Kauf genommen werden kann (vgl. etwa BGE 139 I 145 E. 2.5, 31 E. 2.3, 16 E. 2.2 je mit Hinweisen). Die wohl schwerste der abgeurteilten Straftaten, der körperliche Übergriff auf seine Ehefrau, wurde vom Beschwerdeführer ebenfalls im Drogenrausch begangen. Angesichts des langjährigen, ausgeprägten Drogenmissbrauchs und des sonstigen stark belasteten Vorlebens muss davon ausgegangen werden, dass in der Person des Beschwerdeführers auch der Fernhaltegrund einer Gefährdung der öffentlichen Sicherheit und Ordnung gegeben ist.</w:t>
      </w:r>
    </w:p>
    <w:p>
      <w:r>
        <w:rPr>
          <w:b/>
        </w:rPr>
        <w:t>E. 5.3</w:t>
      </w:r>
    </w:p>
    <w:p>
      <w:r>
        <w:t>Indem die Vorinstanz das Einreiseverbot auf neun Jahre befristet, stützt sie sich - ohne es zu deklarieren oder näher zu begründen - auf die Bestimmung von Art. 67 Abs. 3 zweiter Satz AuG, die eine Fernhaltemassnahme von mehr als fünf Jahren Dauer zulässt, wenn die betroffene Person eine schwerwiegende Gefahr für die öffentliche Sicherheit und Ordnung darstellt. Eine Störung oder einfache Gefährdung der öffentlichen Sicherheit und Ordnung genügen nicht. Verlangt wird eine qualifizierte Gefährdungslage, worüber nach Massgabe aller Umstände des Einzelfalles zu befinden ist. In einem neuesten Urteil hat das Bundesgericht erwogen, dass eine solche schwerwiegende Gefahr nur ausnahmsweise anzunehmen ist. Sie kann sich - so das Bundesgericht -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sich eine entsprechend qualifizierte Gefährdung überdies aus der zunehmend schwereren Delinquenz bei Wiederholungstätern mit ungünstiger Legalprognose ergeben (vgl. BGE 139 II 121 E. 6.3).</w:t>
      </w:r>
    </w:p>
    <w:p>
      <w:r>
        <w:rPr>
          <w:b/>
        </w:rPr>
        <w:t>E. 5.4</w:t>
      </w:r>
    </w:p>
    <w:p>
      <w:r>
        <w:t>Vorweg ist klarzustellen, dass eine Störung der öffentlichen Sicherheit und Ordnung durch Drogendelinquenz, wie vom Beschwerdeführer begangen, eine schwerwiegende Gefahr im Sinne von Art. 67 Abs. 3 zweiter Satz AuG darstellen kann. Voraussetzung ist, dass die Wahrscheinlichkeit ihrer Realisierung hinreichend gross ist. Sie muss signifikant höher sein, als die, welche der Annahme einer rechtlich relevanten Gefahr im Sinne von Art. 67 Abs. 2 Bst. a AuG zugrunde liegt. Davon kann vorliegend ausgegangen werden. Zwar hat der Beschwerdeführer nicht im grossen Stil mit Drogen gehandelt. Er hat aber über einen langen Zeitraum hinweg und bis in jüngere Zeit sowohl weiche wie auch harte Drogen gekauft, aufbewahrt, konsumiert und zeitweise auch versucht, solche zu verkaufen. Von seiner Delinquenz liess er sich weder durch Strafen noch durch Verwarnungen seitens der kantonalen Migrationsbehörde abhalten. Die Verurteilungen lassen einen konstanten, wenn nicht gar steigenden Schweregrad erkennen und eine ungünstige Legalprognose führte dazu, dass bei vielen der gegen den Beschwerdeführer ausgesprochenen Strafen der bedingte Vollzug nicht gewährt bzw. nachträglich widerrufen wurde.</w:t>
      </w:r>
    </w:p>
    <w:p>
      <w:r>
        <w:rPr>
          <w:b/>
        </w:rPr>
        <w:t>E. 5.5</w:t>
      </w:r>
    </w:p>
    <w:p>
      <w:r>
        <w:t>Welche Gefahren vom Beschwerdeführer ausgehen können, illustriert in eindrücklicher Weise die von ihm am 23. November 2008 zum Nachteil seiner Ehefrau begangene Körperverletzung. Der zum Tatzeitpunkt unter Drogeneinfluss stehende Beschwerdeführer hatte seiner Partnerin im Streit eine Ammoniak-Lösung ins Gesicht geschüttet, was zu Verätzungen eines Auges führte und nach den Erkenntnissen des Strafgerichts nur deshalb keine bleibenden Schäden hinterliess, weil das Opfer von dritter Seite umgehend fachkundige Hilfe erhielt. Der Beschwerdeführer selbst hatte sich vom Tatort entfernt, ohne sich um die Verletzte zu kümmern.</w:t>
      </w:r>
    </w:p>
    <w:p>
      <w:r>
        <w:rPr>
          <w:b/>
        </w:rPr>
        <w:t>E. 5.6</w:t>
      </w:r>
    </w:p>
    <w:p>
      <w:r>
        <w:t>Dass sich der Beschwerdeführer in der Zwischenzeit von seiner Drogensucht hätte lösen können, ergibt sich weder aus den Akten, noch wird solches von ihm selbst behauptet.</w:t>
      </w:r>
    </w:p>
    <w:p>
      <w:r>
        <w:rPr>
          <w:b/>
        </w:rPr>
        <w:t>E. 5.7</w:t>
      </w:r>
    </w:p>
    <w:p>
      <w:r>
        <w:t>Als Zwischenergebnis ist festzustellen, dass mit der Verletzung der öffentlichen Sicherheit und Ordnung und deren Gefährdung nach Art. 67 Abs. 2 Bst. a AuG Fernhaltegründe bestehen und darüber hinaus eine schwerwiegende Gefahr im Sinne von Art. 67 Abs. 3 AuG zu bejahen ist, welche die Verhängung eines Einreiseverbots von mehr als fünf Jahren Dauer rechtfertigen kann.</w:t>
      </w:r>
    </w:p>
    <w:p>
      <w:r>
        <w:rPr>
          <w:b/>
        </w:rPr>
        <w:t>E. 6</w:t>
      </w:r>
    </w:p>
    <w:p>
      <w:r>
        <w:t>Den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vollständig überarbeitete Aufl., Zürich/St. Gallen 2010, Rz. 613 ff.).</w:t>
      </w:r>
    </w:p>
    <w:p>
      <w:r>
        <w:rPr>
          <w:b/>
        </w:rPr>
        <w:t>E. 6.1</w:t>
      </w:r>
    </w:p>
    <w:p>
      <w:r>
        <w:t>Mit seinem langjährigen Fehlverhalten, namentlich mit seiner Drogen- und sonstigen Delinquenz hat der Beschwerdeführer den Fernhaltegrund einer Verletzung der öffentlichen Sicherheit und Ordnung gemäss Art. 67 Abs. 2 Bst. a AuG gesetzt. Darüber hinaus ist in seiner Person auch der andere in Art. 67 Abs. 2 Bst. a AuG genannte Fernhaltegrund gegeben, nämlich der einer rechtlich relevanten Gefahr weiterer Störungen der öffentlichen Sicherheit und Ordnung. Schliesslich ist auch anzunehmen, diese Gefahr sei schwerwiegend im Sinne von Art. 67 Abs. 3 Satz 2 AuG. Daneben hat der Beschwerdeführer noch sonstige Fernhaltegründe gesetzt (vgl. E. 5.1 vorstehend). Alles in allem ist festzustellen, dass insbesondere die verwirklichten Störungen der öffentlichen Sicherheit und Ordnung und die vom Beschwerdeführer ausgehende schwerwiegende Gefahr für diese Rechtsgüter ein gewichtiges, general- und spezialpräventiv motiviertes Interesse an einer langjährigen Fernhaltung begründen.</w:t>
      </w:r>
    </w:p>
    <w:p>
      <w:r>
        <w:rPr>
          <w:b/>
        </w:rPr>
        <w:t>E. 6.2</w:t>
      </w:r>
    </w:p>
    <w:p>
      <w:r>
        <w:t>Dem öffentlichen Interesse an seiner Fernhaltung stellt der Beschwer­deführer in pauschaler Weise sein Interesse an einem weiteren Verbleib in der Schweiz entgegen. Hier allein habe er ein soziales Umfeld und hier sei er seit 17 Jahren mit einer Schweizer Bürgerin verheiratet. Man möge ihm die Möglichkeit eines Neustarts gewähren, damit er sich auch beruflich integrieren könne.</w:t>
      </w:r>
    </w:p>
    <w:p>
      <w:r>
        <w:rPr>
          <w:b/>
        </w:rPr>
        <w:t>E. 6.3</w:t>
      </w:r>
    </w:p>
    <w:p>
      <w:r>
        <w:t>Die solchermassen geltend gemachten Interessen können im Rahmen des vorliegenden Verfahrens keine Berücksichtigung finden. Der Beschwerdeführer übersieht, dass nicht eine erneute Aufenthaltsregelung, sondern einzig seine Fernhaltung nach erfolgter Ausreise aus der Schweiz Verfahrensgegenstand bildet. Über eine Verlängerung seines (gestützt auf die Ehe mit einer Schweizerbürgerin erwirkten) Aufenthaltsrechts hat die kantonale Migrationsbehörde in einem Entscheid vom 9. Januar 2009 abschlägig entschieden. Dabei stellte diese Behörde unter anderem fest, dass die eheliche Gemeinschaft spätestens anfangs 2008 aufgegeben worden sei. Gestützt auf den blossen Hinweis des Beschwerdeführers, wonach er immer noch verheiratet sei, kann vor diesem Hintergrund nicht schon eine seither wesentlich veränderte Interessenlage angenommen werden. Im Zusammenhang mit der zu beurteilenden Fernhaltemassnahme ist einzig massgebend, ob der Beschwerdeführer valable Gründe dafür geltend machen kann, über die für ihn bestehende Visumspflicht für künftige Einreisen in die Schweiz hinaus nicht noch zusätzlichen Restriktionen unterstellt zu werden (in Form des grundsätzlichen Einreiseverbots bzw. der Pflicht, für Einreisen jeweils um Suspension dieses Verbots nachzusuchen). Solche Interessen macht er gar nicht geltend. Was das (auch nur andeutungsweise geltend gemachte) soziale Umfeld in der Schweiz betrifft, so hätte der Beschwerdeführer bereits aufgrund des fehlenden Aufenthaltsrechts und der Verpflichtung zur Ausreise Einschränkungen in Kauf zu nehmen. Inwieweit ihn das Einreiseverbot darüber hinaus noch unverhältnismässig belasten sollte, legt er gar nicht dar.</w:t>
      </w:r>
    </w:p>
    <w:p>
      <w:r>
        <w:rPr>
          <w:b/>
        </w:rPr>
        <w:t>E. 7</w:t>
      </w:r>
    </w:p>
    <w:p>
      <w:r>
        <w:t>Eine wertende Gewichtung der sich gegenüberstehenden Interessen führt das Bundesverwaltungsgericht daher zum Schluss, dass die bis zum 30. Juli 2020 befristete Massnahme sowohl vom Grundsatz her wie auch in der ausgesprochenen Dauer eine verhältnismässige und angemessene Massnahme zum Schutz der öffentlichen Sicherheit und Ordnung darstellt.</w:t>
      </w:r>
    </w:p>
    <w:p>
      <w:r>
        <w:rPr>
          <w:b/>
        </w:rPr>
        <w:t>E. 8.1</w:t>
      </w:r>
    </w:p>
    <w:p>
      <w:r>
        <w:t>Zu prüfen bleibt die Rechtmässigkeit der von der Vorinstanz angeordneten Ausschreibung des Einreiseverbots im Schengener Informationssystem SIS.</w:t>
      </w:r>
    </w:p>
    <w:p>
      <w:r>
        <w:rPr>
          <w:b/>
        </w:rPr>
        <w:t>E. 8.2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8.3</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8.4</w:t>
      </w:r>
    </w:p>
    <w:p>
      <w:r>
        <w:t>Der Beschwerdeführer kann als Drittstaatsangehöriger grundsätzlich zur Einreise- bzw. Aufenthaltsverweigerung im SIS ausgeschrieben werden. Eine Mehrzahl der von ihm zu verantwortenden Straftaten erfüllt sodann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9</w:t>
      </w:r>
    </w:p>
    <w:p>
      <w:r>
        <w:t>Aus den vorstehenden Erwägungen ergibt sich, dass die angefochtene Verfügung Bundesrecht nicht verletzt und den rechtserheblichen Sachverhalt richtig und vollständig feststellt; sie ist auch angemessen (Art. 49 VwVG). Die Beschwerde ist daher abzuweisen.</w:t>
      </w:r>
    </w:p>
    <w:p>
      <w:r>
        <w:rPr>
          <w:b/>
        </w:rPr>
        <w:t>E. 10</w:t>
      </w:r>
    </w:p>
    <w:p>
      <w:r>
        <w:t>Entsprechend dem Ausgang des Verfahrens sind dem Beschwerdeführer die Kosten aufzuerlegen (Art. 63 Abs. 1 VwVG i.V.m. Art. 1, Art. 2 und Art. 3 Bst. b des Reglements vom 21. Februar 2008 über die Kosten und Entschädigungen vor dem Bundesverwaltungsgericht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