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C-420/2020 vom 12. Dezember 2019</w:t>
      </w:r>
    </w:p>
    <w:p>
      <w:r>
        <w:t>Bundesverwaltungsgericht, 2019-12-12, DE</w:t>
      </w:r>
    </w:p>
    <w:p>
      <w:r>
        <w:rPr>
          <w:b/>
        </w:rPr>
        <w:t xml:space="preserve">Quelle: </w:t>
      </w:r>
      <w:r>
        <w:t>https://mcp.opencaselaw.ch/entscheid/bvger_C-420_2020_d20191212</w:t>
      </w:r>
    </w:p>
    <w:p>
      <w:r>
        <w:t>FR: TAF C-420/2020 du 12 décembre 2019</w:t>
      </w:r>
    </w:p>
    <w:p>
      <w:r>
        <w:t>IT: TAF C-420/2020 del 12 dicembre 2019</w:t>
      </w:r>
    </w:p>
    <w:p>
      <w:pPr>
        <w:pStyle w:val="Heading2"/>
      </w:pPr>
      <w:r>
        <w:t>Regeste</w:t>
      </w:r>
    </w:p>
    <w:p>
      <w:r>
        <w:t>Mindestbeitragsdauer | Alters- und Hinterlassenenversicherung (AHV), Mindestbeitragsdauer; Einspracheentscheid der SAK vom 12. Dezember 2019</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durch den angefochtenen Einspracheent- scheid berührt und hat ein schutzwürdiges Interesse an dessen Aufhebung oder Änderung, so dass er im Sinne von Art. 59 ATSG beschwerdelegiti- miert ist. Da die Beschwerde im Übrigen frist- und formgerecht (Art. 60 Abs. 1 ATSG und Art. 52 Abs. 1 VwVG) eingereicht wurde, ist auf die Be- schwerde einzutreten.</w:t>
      </w:r>
    </w:p>
    <w:p>
      <w:r>
        <w:rPr>
          <w:b/>
        </w:rPr>
        <w:t>E. 2.1</w:t>
      </w:r>
    </w:p>
    <w:p>
      <w:r>
        <w:t>Im Beschwerdeverfahren vor dem Bundesverwaltungsgericht sind grundsätzlich nur Rechtsverhältnisse zu überprüfen und zu beurteilen, zu denen die zuständige Verwaltungsbehörde vorgängig verbindlich – in Form</w:t>
      </w:r>
    </w:p>
    <w:p>
      <w:r>
        <w:t>C-420/2020 Seite 5 einer Verfügung – Stellung genommen hat. Insoweit bestimmt die Verfü- gung den beschwerdeweise weiterziehbaren Anfechtungsgegenstand. Umgekehrt fehlt es an einem Anfechtungsgegenstand und an einer Sach- urteilsvoraussetzung, wenn und insoweit keine Verfügung ergangen ist (BGE 131 V 164 E. 2.1).</w:t>
      </w:r>
    </w:p>
    <w:p>
      <w:r>
        <w:rPr>
          <w:b/>
        </w:rPr>
        <w:t>E. 2.2</w:t>
      </w:r>
    </w:p>
    <w:p>
      <w:r>
        <w:t>Anfechtungsobjekt und damit Begrenzung des Streitgegenstandes des vorliegenden Beschwerdeverfahrens bildet der – die Verfügung vom 23. Oktober 2018 (SAK-act. 14) ersetzende (vgl. hierzu BGE 142 V 337 E. 3.2.1 mit Hinweisen) – Einspracheentscheid vom 12. Dezember 2019 (SAK-act. 23), mit welchem die Vorinstanz die Gesuche des Beschwerde- führers um Ausrichtung einer Altersrente sowie um Rückvergütung der an die schweizerische AHV geleisteten Sozialversicherungsbeiträge abgewie- sen hat. Strittig und zu prüfen ist die Rechtmässigkeit dieses Entscheids und in diesem Zusammenhang insbesondere, ob der Beschwerdeführer für die erforderliche Mindestbeitragsdauer Beiträge geleistet hat.</w:t>
      </w:r>
    </w:p>
    <w:p>
      <w:r>
        <w:rPr>
          <w:b/>
        </w:rPr>
        <w:t>E. 2.3</w:t>
      </w:r>
    </w:p>
    <w:p>
      <w:r>
        <w:t>Nicht Gegenstand des angefochtenen Entscheides und damit hier nicht zu prüfen ist, ob der Beschwerdeführer eine Nachzahlung von AHV/IV-Bei- trägen zwecks Erreichung eines vollen Beitragsjahrs leisten kann (vgl. BVGer-act. 1). Soweit der Beschwerdeführer vom Bundesverwaltungsge- richt diesbezügliche Abklärungen oder Feststellungen fordert, kann darauf mangels Anfechtungsobjekt nicht eingetreten werden.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zeitlicher Hinsicht sind – vorbehältlich besonderer übergangsrechtli- cher Regelungen – grundsätzlich diejenigen materiellen Rechtssätze mas- sgebend, die bei der Erfüllung des zu Rechtsfolgen führenden Tatbestan- des Geltung hatten (BGE 130 V 329 E. 2.3). Ist die Rückvergütung von</w:t>
      </w:r>
    </w:p>
    <w:p>
      <w:r>
        <w:t>C-420/2020 Seite 6 AHV-Beiträgen zu beurteilen, ist auf die im Zeitpunkt der Antragstellung (vorliegend 5. Juni 2018; SAK-act. 6) geltenden Bestimmungen abzustel- len (BGE 136 V 24 E. 4.4; Urteil des BVGer C-2051/2020 vom 11. Septem- ber 2020 E. 3.1).</w:t>
      </w:r>
    </w:p>
    <w:p>
      <w:r>
        <w:rPr>
          <w:b/>
        </w:rPr>
        <w:t>E. 3.4</w:t>
      </w:r>
    </w:p>
    <w:p>
      <w:r>
        <w:t>Der Beschwerdeführer ist nordmazedonischer Staatsangehöriger und lebt in der Republik Nordmazedonien, weshalb das Abkommen zwischen der Schweizerischen Eidgenossenschaft und der Republik Mazedonien über Soziale Sicherheit vom 9. Dezember 1999, in Kraft getreten am 1. Ja- nuar 2002 (SR 0.831.109.520.1, nachfolgend: Sozialversicherungsabkom- men), zur Anwendung gelangt. Nach Art. 4 Abs. 1 des Sozialversicherungs- abkommens sind die Staatsangehörigen des einen Vertragsstaates in ihren Rechten und Pflichten aus den Rechtsvorschriften des anderen Vertrags- staates den Staatsangehörigen dieses Vertragsstaates gleichgestellt; ab- weichende Bestimmungen in diesem Abkommen bleiben vorbehalten. Mangels vorliegend anwendbarer, abweichender Vorschriften bestimmt sich der Anspruch des Beschwerdeführers auf Leistungen der AHV dem- nach ausschliesslich nach schweizerischem Recht (vgl. Art. 2, 3 und 4 des Sozialversicherungsabkommens).</w:t>
      </w:r>
    </w:p>
    <w:p>
      <w:r>
        <w:rPr>
          <w:b/>
        </w:rPr>
        <w:t>E. 4</w:t>
      </w:r>
    </w:p>
    <w:p>
      <w:r>
        <w:t>Aufl. 2020, Art. 43 N. 37). Daraus folgt, dass die unangefochten geblie- benen IK-Auszüge und die darin enthaltenen IK-Eintragungen für die durch sie bezeugten Tatsachen den vollen Beweis erbringen, solange nicht die Unrichtigkeit ihres Inhaltes nachgewiesen ist (vgl. Art. 9 Abs. 1 ZGB). Im Fall der Beweislosigkeit fällt der Entscheid zu Ungunsten jener Partei aus, die daraus Rechte ableiten will (BGE 117 V 261 E. 3b-d mit Hinweisen).</w:t>
      </w:r>
    </w:p>
    <w:p>
      <w:r>
        <w:rPr>
          <w:b/>
        </w:rPr>
        <w:t>E. 4.1.1</w:t>
      </w:r>
    </w:p>
    <w:p>
      <w:r>
        <w:t>Anspruch auf eine ordentliche AHV-Rente haben nur Versicherte, de- nen für mindestens ein volles Jahr Einkommen, Erziehungs- oder Betreu- ungsgutschriften angerechnet werden können (Art. 29 Abs. 1 AHVG). Ge- mäss Art. 29ter Abs. 2 AHVG gelten als Beitragsjahre Zeiten, in welchen eine Person Beiträge geleistet hat (Bst. a) oder der Ehegatte gemäss Art. 3 Abs. 3 AHVG mindestens den doppelten Mindestbeitrag entrichtet hat und die Beiträge daher als bezahlt gelten (Bst. b), sowie Zeiten, für die Erzie- hungs- oder Betreuungsgutschriften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AHVV [SR 831.101]).</w:t>
      </w:r>
    </w:p>
    <w:p>
      <w:r>
        <w:rPr>
          <w:b/>
        </w:rPr>
        <w:t>E. 4.1.2</w:t>
      </w:r>
    </w:p>
    <w:p>
      <w:r>
        <w:t>Nordmazedonische Staatsangehörige und ihre Hinterlassenen ha- ben – unter Vorbehalt von Abs. 2-4 von Art. 16 des Sozialversicherungsab- kommens – unter den gleichen Voraussetzungen wie schweizerische Staatsangehörige und deren Hinterlassene Anspruch auf die ordentlichen Renten und die Hilflosenentschädigungen der schweizerischen Alters- und</w:t>
      </w:r>
    </w:p>
    <w:p>
      <w:r>
        <w:t>C-420/2020 Seite 7 Hinterlassenenversicherung (Art. 16 Abs. 1 Sozialversicherungsabkom- men). Haben nordmazedonische Staatsangehörige oder deren Hinterlas- sene, die nicht in der Schweiz wohnen, Anspruch auf eine ordentliche Teil- rente, die höchstens zehn Prozent der entsprechenden ordentlichen Voll- rente beträgt, so wird ihnen an Stelle der Teilrente eine einmalige Abfin- dung in der Höhe des Barwertes der Rente gewährt (Art. 16 Abs. 2 Sozial- versicherungsabkommen). Beträgt die ordentliche Teilrente mehr als zehn Prozent, aber höchstens zwanzig Prozent der entsprechenden ordentli- chen Vollrente, so kann zwischen der Ausrichtung der Rente oder einer Abfindung gewählt werden (Art. 16 Abs. 3 Sozialversicherungsabkommen).</w:t>
      </w:r>
    </w:p>
    <w:p>
      <w:r>
        <w:rPr>
          <w:b/>
        </w:rPr>
        <w:t>E. 4.2.1</w:t>
      </w:r>
    </w:p>
    <w:p>
      <w:r>
        <w:t>Nach Art. 18 Abs. 3 AHVG können Ausländern, die ihren Wohnsitz im Ausland haben und mit deren Heimatstaat keine zwischenstaatliche Ver- einbarung besteht, sowie ihren Hinterlassenen die gemäss den Art. 5, 6, 8, 10 oder 13 bezahlten Beiträge rückvergütet werden (Satz 1). In Satz 2 wird der Bundesrat mit der Regelung der Einzelheiten, insbesondere dem Aus- mass der Rückvergütung, beauftragt. Dazu hat der Bundesrat die Verord- nung vom 29. November 1995 über die Rückvergütung der von Ausländern an die Alters- und Hinterlassenenversicherung bezahlten Beiträge (RV- AHV [SR 831.131.12]) erlassen.</w:t>
      </w:r>
    </w:p>
    <w:p>
      <w:r>
        <w:rPr>
          <w:b/>
        </w:rPr>
        <w:t>E. 4.2.2</w:t>
      </w:r>
    </w:p>
    <w:p>
      <w:r>
        <w:t>Art. 1 Abs. 1 RV-AHV setzt für eine Rückvergütung der entrichteten AHV-Beiträge – ergänzend bzw. konkretisierend zu Art. 18 Abs. 3 AHVG – voraus, dass diese Beiträge während mindestens eines vollen Jahres ge- leistet worden sind und keinen Rentenanspruch begründen. Die Beiträge können zurückgefordert werden, sobald die Person aller Voraussicht nach endgültig aus der Versicherung ausgeschieden ist und sowohl sie selber als auch ihr Ehegatte und ihre noch nicht 25-jährigen Kinder nicht mehr in der Schweiz wohnen (Art. 2 Abs. 1 RV-AHV). Rückvergütet werden nur die tatsächlich bezahlten Beiträge. Zinsen werden vorbehältlich Art. 26 Abs. 2 ATSG keine geleistet (Art. 4 Abs. 1 RV-AHV).</w:t>
      </w:r>
    </w:p>
    <w:p>
      <w:r>
        <w:rPr>
          <w:b/>
        </w:rPr>
        <w:t>E. 4.3.1</w:t>
      </w:r>
    </w:p>
    <w:p>
      <w:r>
        <w:t>Hinsichtlich der Dauer der Beitragsleistung und der Höhe der Bei- träge wird grundsätzlich auf die individuellen Konten (IK) abgestellt, welche für jeden beitragspflichtigen Versicherten geführt werden und in welche die entsprechenden Daten eingetragen werden (vgl. Art. 30ter AHVG; Art. 137 ff. AHVV).</w:t>
      </w:r>
    </w:p>
    <w:p>
      <w:r>
        <w:t>C-420/2020 Seite 8</w:t>
      </w:r>
    </w:p>
    <w:p>
      <w:r>
        <w:rPr>
          <w:b/>
        </w:rPr>
        <w:t>E. 4.3.2</w:t>
      </w:r>
    </w:p>
    <w:p>
      <w:r>
        <w:t>Der Versicherte hat das Recht, bei jeder Ausgleichskasse, die für ihn ein individuelles Konto führt, einen Auszug über die darin gemachten Ein- tragungen unter Angabe allfälliger Arbeitgeber zu verlangen (Art. 141 Abs. 1 AHVV). Wird kein Kontenauszug oder keine Berichtigung verlangt, oder wird ein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4.3.3</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 sen, dass der Versicherte insofern erhöhte Mitwirkungspflichten hat, als dass er alles ihm Zumutbare unternehmen muss, um die Verwaltung oder den Richter bei der Beschaffung des Beweismaterials zu unterstützen (vgl. BGE 117 V 261 E. 3b und 3d vgl. dazu auch UELI KIESER, Alters- und Hin- terlassenenversicherung, in: Ulrich Meyer [Hrsg.], Schweizerisches Bun- desverwaltungsrecht, Band XIV, Soziale Sicherheit, 3. Aufl. 2016, S. 1353 f. N. 565 ff.).</w:t>
      </w:r>
    </w:p>
    <w:p>
      <w:r>
        <w:rPr>
          <w:b/>
        </w:rPr>
        <w:t>E. 4.3.4</w:t>
      </w:r>
    </w:p>
    <w:p>
      <w:r>
        <w:t>Die Beweiskraft der IK-Eintragungen, welche vor Eintritt des Versi- cherungsfalles unangefochten waren, entspricht derjenigen eines öffentli- chen Registers (vgl. Art. 9 ZGB; UELI KIESER, Rechtsprechung des Bun- desgerichts zum AHVG, 4. Aufl. 2020, Art. 30ter N. 1 mit Hinweis auf ZAK 1969 72 f. E. 2; AHI-Praxis 2002 S. 240). Beim Auszug aus dem IK handelt es sich um eine (öffentliche) Urkunde (UELI KIESER, ATSG-Kommentar,</w:t>
      </w:r>
    </w:p>
    <w:p>
      <w:r>
        <w:rPr>
          <w:b/>
        </w:rPr>
        <w:t>E. 5.1</w:t>
      </w:r>
    </w:p>
    <w:p>
      <w:r>
        <w:t>Zunächst ist der Anspruch des Beschwerdeführers auf eine schweize- rische Altersrente zu prüfen.</w:t>
      </w:r>
    </w:p>
    <w:p>
      <w:r>
        <w:t>C-420/2020 Seite 9</w:t>
      </w:r>
    </w:p>
    <w:p>
      <w:r>
        <w:rPr>
          <w:b/>
        </w:rPr>
        <w:t>E. 5.1.1</w:t>
      </w:r>
    </w:p>
    <w:p>
      <w:r>
        <w:t>Der Beschwerdeführer bestreitet die Richtigkeit der IK-Einträge be- treffend die Beitragszeiten nicht und bringt im vorliegenden Beschwerde- verfahren – wie auch bereits im vorinstanzlichen Einspracheverfahren – weder neue Argumente noch neue Beweismittel vor, welche die Verbind- lichkeit der Eintragungen in seinem IK-Konto für die Berechnung der Bei- tragszeiten umzustossen vermöchten. Vielmehr führte er bereits in seinem Gesuch um Rückvergütung vom 23. Januar 2018 aus, er wisse, dass er «nicht die Bedingungen zu Erhalt der Pension erfülle» (SAK-act. 1). Auch in seiner Einsprache hielt der Beschwerdeführer fest, er wisse, dass er die Bedingung von einem Jahr nicht erfülle (SAK-act. 22). Die Vorinstanz hat in ihrer Verfügung vom 23. Oktober 2018 (SAK-act. 14) auf die Einträge im Formular E 205 betreffend den Versicherungsverlauf in der Schweiz (SAK- act. 16) abgestellt. Sie rechnete dem Beschwerdeführer eine Beitragszeit von insgesamt fünf Monaten an (März bis Juli 1986).</w:t>
      </w:r>
    </w:p>
    <w:p>
      <w:r>
        <w:rPr>
          <w:b/>
        </w:rPr>
        <w:t>E. 5.1.2</w:t>
      </w:r>
    </w:p>
    <w:p>
      <w:r>
        <w:t>Den Akten ist eine Aufenthaltsbewilligung für Saisonarbeiter bis zum 30. November 1986 (SAK-act. 4=8=19=22 [nachfolgend: SAK-act. 4]) zu entnehmen. So geht aus der Anmeldung der Gemeindekanzlei B._______ hervor, dass sich der Beschwerdeführer am 20. Oktober 1986 dort ange- meldet und am 1. Dezember 1986 nach Jugoslawien abgemeldet hatte (SAK-act. 4, S. 4). Als Zweck des Aufenthalts wird die Tätigkeit als Landar- beiter bei C._______ in B._______ aufgeführt (SAK-act. 4, S. 3). Entspre- chend finden sich im IK-Auszug vom 25. Oktober 2018 Einträge für die Monate März bis und mit November 1986 (SAK-act. 12 und 13). Damit übereinstimmend ging die Vorinstanz im vorliegend angefochtenen Ein- spracheentscheid vom 12. Dezember 2019 richtigerweise von einer Bei- tragsdauer von neun Monaten aus («Sie haben gemäss Ihrem individuel- lem Konto 9 Monate im Jahr 1986 in der Schweiz AHV/IV-Beiträge einbe- zahlt.» [SAK-act. 23, S. 2]). Dem Beschwerdeführer sind somit neun Mo- nate Beitragszeit anzurechnen, weshalb er die für einen Rentenanspruch bzw. einen Anspruch auf eine einmalige Abfindung (vgl. zur einmaligen Ab- findung Art. 16 Abs. 2 Sozialversicherungsabkommen, E. 4.1.2) erforderli- che Mindestbeitragsdauer von einem Jahr (vgl. E. 4.1.1) nicht erfüllt. Er hat demnach weder Anspruch auf eine Altersrente noch einen Anspruch auf eine einmalige Abfindung.</w:t>
      </w:r>
    </w:p>
    <w:p>
      <w:r>
        <w:rPr>
          <w:b/>
        </w:rPr>
        <w:t>E. 5.2</w:t>
      </w:r>
    </w:p>
    <w:p>
      <w:r>
        <w:t>Schliesslich ist strittig und vom Bundesverwaltungsgericht zu prüfen, ob die SAK den Rückvergütungsanspruch des Beschwerdeführers seiner an die schweizerische AHV geleisteten Beiträge zu Recht verneinte.</w:t>
      </w:r>
    </w:p>
    <w:p>
      <w:r>
        <w:t>C-420/2020 Seite 10</w:t>
      </w:r>
    </w:p>
    <w:p>
      <w:r>
        <w:rPr>
          <w:b/>
        </w:rPr>
        <w:t>E. 5.2.1</w:t>
      </w:r>
    </w:p>
    <w:p>
      <w:r>
        <w:t>Der Beschwerdeführer verlangt in seiner Beschwerde, dass ihm seine geleisteten Beiträge zurückzuerstatten sind (vgl. BVGer-act. 1; vgl. auch seine Einsprache [SAK-act. 22]).</w:t>
      </w:r>
    </w:p>
    <w:p>
      <w:r>
        <w:rPr>
          <w:b/>
        </w:rPr>
        <w:t>E. 5.2.2</w:t>
      </w:r>
    </w:p>
    <w:p>
      <w:r>
        <w:t>Im vorliegenden Fall besteht mit dem Sozialversicherungsabkommen zwischen der Schweiz und Republik Nordmazedonien eine zwischenstaat- liche Vereinbarung im Sinne von Art. 18 Abs. 3 AHVG und Art. 1 Abs. 1 RV- AHV e contrario mit dem Heimatstaat des Beschwerdeführers (vgl. E. 3.4 hiervor); damit ist eine Rückvergütung der bezahlten Beiträge von vornhe- rein ausgeschlossen (vgl. hierzu auch das Urteil des BVGer C-331/2020 vom 8. Juli 2020). Der Vollständigkeit halber ist darauf hinzuweisen, dass auch Art. 1 Abs. 1 RV-AHV für die Rückforderung von Beiträgen eine Min- destbeitragsdauer von einem Jahr vorsieht, die – wie bereits ausgeführt – vorliegend nicht erreicht wurde. Schliesslich ist im Sozialversicherungsab- kommen ebenfalls keine Rückvergütung vorgesehen, womit die Vorinstanz das Gesuch des Beschwerdeführers um Rückvergütung seiner geleisteten AHV/IV-Beiträge zu Recht abgewiesen hat.</w:t>
      </w:r>
    </w:p>
    <w:p>
      <w:r>
        <w:rPr>
          <w:b/>
        </w:rPr>
        <w:t>E. 6</w:t>
      </w:r>
    </w:p>
    <w:p>
      <w:r>
        <w:t>Zusammenfassend ergibt sich, dass der Beschwerdeführer weder An- spruch auf eine ordentliche Rente oder einmalige Kapitalabfindung der AHV hat noch die Rückvergütung geleisteter AHV-Beiträge verlangen kann. Infolgedessen ist die Beschwerde abzuweisen, soweit darauf einzu- treten ist.</w:t>
      </w:r>
    </w:p>
    <w:p>
      <w:r>
        <w:rPr>
          <w:b/>
        </w:rPr>
        <w:t>E. 7</w:t>
      </w:r>
    </w:p>
    <w:p>
      <w:r>
        <w:t>Zu befinden bleibt über die Verfahrenskosten und eine allfällige Parteient- 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w:t>
      </w:r>
    </w:p>
    <w:p>
      <w:r>
        <w:t>C-420/2020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